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b/>
        </w:rPr>
        <w:fldChar w:fldCharType="begin"/>
      </w:r>
      <w:r>
        <w:instrText xml:space="preserve"> TOC \o "3-5" \h \z \t "Címsor 1,1,Címsor 2,2" </w:instrText>
      </w:r>
      <w:r>
        <w:rPr>
          <w:b/>
        </w:rPr>
        <w:fldChar w:fldCharType="separate"/>
      </w:r>
      <w:hyperlink w:anchor="_Toc201845357"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_Toc201845357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58"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_Toc201845358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59"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_Toc201845359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0"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_Toc201845360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1"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_Toc201845361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2"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_Toc201845362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3"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_Toc201845363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64"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_Toc201845364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65"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_Toc201845365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6"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_Toc201845366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7" w:history="1">
        <w:r>
          <w:rPr>
            <w:rStyle w:val="Hiperhivatkozs"/>
            <w:noProof/>
            <w:lang w:bidi="sa-IN"/>
          </w:rPr>
          <w:t>2.4.2. Polygraphy</w:t>
        </w:r>
        <w:r>
          <w:rPr>
            <w:noProof/>
            <w:webHidden/>
          </w:rPr>
          <w:tab/>
        </w:r>
        <w:r>
          <w:rPr>
            <w:noProof/>
            <w:webHidden/>
          </w:rPr>
          <w:fldChar w:fldCharType="begin"/>
        </w:r>
        <w:r>
          <w:rPr>
            <w:noProof/>
            <w:webHidden/>
          </w:rPr>
          <w:instrText xml:space="preserve"> PAGEREF _Toc201845367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68"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_Toc201845368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6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_Toc201845369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70" w:history="1">
        <w:r>
          <w:rPr>
            <w:rStyle w:val="Hiperhivatkozs"/>
            <w:noProof/>
            <w:lang w:bidi="ar-SA"/>
          </w:rPr>
          <w:t>2.4.3.2. Markers</w:t>
        </w:r>
        <w:r>
          <w:rPr>
            <w:noProof/>
            <w:webHidden/>
          </w:rPr>
          <w:tab/>
        </w:r>
        <w:r>
          <w:rPr>
            <w:noProof/>
            <w:webHidden/>
          </w:rPr>
          <w:fldChar w:fldCharType="begin"/>
        </w:r>
        <w:r>
          <w:rPr>
            <w:noProof/>
            <w:webHidden/>
          </w:rPr>
          <w:instrText xml:space="preserve"> PAGEREF _Toc201845370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71"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_Toc201845371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_Toc201845372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_Toc201845373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_Toc201845374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_Toc201845375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_Toc201845376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7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_Toc201845377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78"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_Toc201845378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379"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_Toc201845379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0"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_Toc201845380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1"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_Toc201845381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2"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_Toc201845382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3"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_Toc201845383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4"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_Toc201845384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5"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_Toc201845385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6"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_Toc201845386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7"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_Toc201845387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8"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_Toc201845388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89"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_Toc201845389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0"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_Toc201845390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1"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_Toc201845391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2" w:history="1">
        <w:r>
          <w:rPr>
            <w:rStyle w:val="Hiperhivatkozs"/>
            <w:noProof/>
            <w:lang w:bidi="ar-SA"/>
          </w:rPr>
          <w:t>3.10.3. Truncation</w:t>
        </w:r>
        <w:r>
          <w:rPr>
            <w:noProof/>
            <w:webHidden/>
          </w:rPr>
          <w:tab/>
        </w:r>
        <w:r>
          <w:rPr>
            <w:noProof/>
            <w:webHidden/>
          </w:rPr>
          <w:fldChar w:fldCharType="begin"/>
        </w:r>
        <w:r>
          <w:rPr>
            <w:noProof/>
            <w:webHidden/>
          </w:rPr>
          <w:instrText xml:space="preserve"> PAGEREF _Toc201845392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3" w:history="1">
        <w:r>
          <w:rPr>
            <w:rStyle w:val="Hiperhivatkozs"/>
            <w:noProof/>
            <w:lang w:bidi="ar-SA"/>
          </w:rPr>
          <w:t xml:space="preserve">3.10.4.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_Toc201845393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4" w:history="1">
        <w:r>
          <w:rPr>
            <w:rStyle w:val="Hiperhivatkozs"/>
            <w:noProof/>
            <w:lang w:bidi="ar-SA"/>
          </w:rPr>
          <w:t xml:space="preserve">3.10.5.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_Toc201845394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5"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_Toc201845395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6"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_Toc201845396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7"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_Toc201845397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8"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_Toc201845398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399"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_Toc201845399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0"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_Toc201845400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01"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_Toc201845401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2"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_Toc201845402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03"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_Toc201845403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04"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_Toc201845404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5"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_Toc201845405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6"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_Toc201845406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7"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_Toc201845407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08"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_Toc201845408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09"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_Toc201845409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0"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_Toc201845410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1"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_Toc201845411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2"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_Toc201845412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3"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_Toc201845413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4"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_Toc201845414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5"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_Toc201845415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6"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_Toc201845416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7"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_Toc201845417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8"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_Toc201845418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19"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_Toc201845419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0"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_Toc201845420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1"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_Toc201845421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2"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_Toc201845422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3"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_Toc201845423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4" w:history="1">
        <w:r>
          <w:rPr>
            <w:rStyle w:val="Hiperhivatkozs"/>
            <w:noProof/>
            <w:lang w:bidi="ar-SA"/>
          </w:rPr>
          <w:t>6.1.2. Other numeric signs</w:t>
        </w:r>
        <w:r>
          <w:rPr>
            <w:noProof/>
            <w:webHidden/>
          </w:rPr>
          <w:tab/>
        </w:r>
        <w:r>
          <w:rPr>
            <w:noProof/>
            <w:webHidden/>
          </w:rPr>
          <w:fldChar w:fldCharType="begin"/>
        </w:r>
        <w:r>
          <w:rPr>
            <w:noProof/>
            <w:webHidden/>
          </w:rPr>
          <w:instrText xml:space="preserve"> PAGEREF _Toc201845424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25" w:history="1">
        <w:r>
          <w:rPr>
            <w:rStyle w:val="Hiperhivatkozs"/>
            <w:noProof/>
            <w:lang w:bidi="ar-SA"/>
          </w:rPr>
          <w:t>6.1.2.1. Markup for numeric signs transliterated with more than one target character</w:t>
        </w:r>
        <w:r>
          <w:rPr>
            <w:noProof/>
            <w:webHidden/>
          </w:rPr>
          <w:tab/>
        </w:r>
        <w:r>
          <w:rPr>
            <w:noProof/>
            <w:webHidden/>
          </w:rPr>
          <w:fldChar w:fldCharType="begin"/>
        </w:r>
        <w:r>
          <w:rPr>
            <w:noProof/>
            <w:webHidden/>
          </w:rPr>
          <w:instrText xml:space="preserve"> PAGEREF _Toc201845425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26"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_Toc201845426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27"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_Toc201845427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28"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_Toc201845428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29" w:history="1">
        <w:r>
          <w:rPr>
            <w:rStyle w:val="Hiperhivatkozs"/>
            <w:noProof/>
            <w:lang w:bidi="ar-SA"/>
          </w:rPr>
          <w:t>6.2.1. Avagraha</w:t>
        </w:r>
        <w:r>
          <w:rPr>
            <w:noProof/>
            <w:webHidden/>
          </w:rPr>
          <w:tab/>
        </w:r>
        <w:r>
          <w:rPr>
            <w:noProof/>
            <w:webHidden/>
          </w:rPr>
          <w:fldChar w:fldCharType="begin"/>
        </w:r>
        <w:r>
          <w:rPr>
            <w:noProof/>
            <w:webHidden/>
          </w:rPr>
          <w:instrText xml:space="preserve"> PAGEREF _Toc201845429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0"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_Toc201845430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1" w:history="1">
        <w:r>
          <w:rPr>
            <w:rStyle w:val="Hiperhivatkozs"/>
            <w:noProof/>
            <w:lang w:bidi="ar-SA"/>
          </w:rPr>
          <w:t>6.3.1. Punctuation signs</w:t>
        </w:r>
        <w:r>
          <w:rPr>
            <w:noProof/>
            <w:webHidden/>
          </w:rPr>
          <w:tab/>
        </w:r>
        <w:r>
          <w:rPr>
            <w:noProof/>
            <w:webHidden/>
          </w:rPr>
          <w:fldChar w:fldCharType="begin"/>
        </w:r>
        <w:r>
          <w:rPr>
            <w:noProof/>
            <w:webHidden/>
          </w:rPr>
          <w:instrText xml:space="preserve"> PAGEREF _Toc201845431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32" w:history="1">
        <w:r>
          <w:rPr>
            <w:rStyle w:val="Hiperhivatkozs"/>
            <w:noProof/>
            <w:lang w:bidi="ar-SA"/>
          </w:rPr>
          <w:t>6.3.1.1. What is a punctuation sign?</w:t>
        </w:r>
        <w:r>
          <w:rPr>
            <w:noProof/>
            <w:webHidden/>
          </w:rPr>
          <w:tab/>
        </w:r>
        <w:r>
          <w:rPr>
            <w:noProof/>
            <w:webHidden/>
          </w:rPr>
          <w:fldChar w:fldCharType="begin"/>
        </w:r>
        <w:r>
          <w:rPr>
            <w:noProof/>
            <w:webHidden/>
          </w:rPr>
          <w:instrText xml:space="preserve"> PAGEREF _Toc201845432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33" w:history="1">
        <w:r>
          <w:rPr>
            <w:rStyle w:val="Hiperhivatkozs"/>
            <w:noProof/>
            <w:lang w:bidi="ar-SA"/>
          </w:rPr>
          <w:t>6.3.1.2. Transliterating punctuation signs</w:t>
        </w:r>
        <w:r>
          <w:rPr>
            <w:noProof/>
            <w:webHidden/>
          </w:rPr>
          <w:tab/>
        </w:r>
        <w:r>
          <w:rPr>
            <w:noProof/>
            <w:webHidden/>
          </w:rPr>
          <w:fldChar w:fldCharType="begin"/>
        </w:r>
        <w:r>
          <w:rPr>
            <w:noProof/>
            <w:webHidden/>
          </w:rPr>
          <w:instrText xml:space="preserve"> PAGEREF _Toc201845433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1845434"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_Toc201845434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5" w:history="1">
        <w:r>
          <w:rPr>
            <w:rStyle w:val="Hiperhivatkozs"/>
            <w:noProof/>
            <w:lang w:bidi="ar-SA"/>
          </w:rPr>
          <w:t>6.3.2. Space filler signs</w:t>
        </w:r>
        <w:r>
          <w:rPr>
            <w:noProof/>
            <w:webHidden/>
          </w:rPr>
          <w:tab/>
        </w:r>
        <w:r>
          <w:rPr>
            <w:noProof/>
            <w:webHidden/>
          </w:rPr>
          <w:fldChar w:fldCharType="begin"/>
        </w:r>
        <w:r>
          <w:rPr>
            <w:noProof/>
            <w:webHidden/>
          </w:rPr>
          <w:instrText xml:space="preserve"> PAGEREF _Toc201845435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6" w:history="1">
        <w:r>
          <w:rPr>
            <w:rStyle w:val="Hiperhivatkozs"/>
            <w:noProof/>
            <w:lang w:bidi="ar-SA"/>
          </w:rPr>
          <w:t>6.3.3. Signs indicating words split by a line break</w:t>
        </w:r>
        <w:r>
          <w:rPr>
            <w:noProof/>
            <w:webHidden/>
          </w:rPr>
          <w:tab/>
        </w:r>
        <w:r>
          <w:rPr>
            <w:noProof/>
            <w:webHidden/>
          </w:rPr>
          <w:fldChar w:fldCharType="begin"/>
        </w:r>
        <w:r>
          <w:rPr>
            <w:noProof/>
            <w:webHidden/>
          </w:rPr>
          <w:instrText xml:space="preserve"> PAGEREF _Toc201845436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7" w:history="1">
        <w:r>
          <w:rPr>
            <w:rStyle w:val="Hiperhivatkozs"/>
            <w:noProof/>
            <w:lang w:bidi="ar-SA"/>
          </w:rPr>
          <w:t>6.3.4. Miscellaneous signs</w:t>
        </w:r>
        <w:r>
          <w:rPr>
            <w:noProof/>
            <w:webHidden/>
          </w:rPr>
          <w:tab/>
        </w:r>
        <w:r>
          <w:rPr>
            <w:noProof/>
            <w:webHidden/>
          </w:rPr>
          <w:fldChar w:fldCharType="begin"/>
        </w:r>
        <w:r>
          <w:rPr>
            <w:noProof/>
            <w:webHidden/>
          </w:rPr>
          <w:instrText xml:space="preserve"> PAGEREF _Toc201845437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8"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_Toc201845438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1845439"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_Toc201845439 \h </w:instrText>
        </w:r>
        <w:r>
          <w:rPr>
            <w:noProof/>
            <w:webHidden/>
          </w:rPr>
        </w:r>
        <w:r>
          <w:rPr>
            <w:noProof/>
            <w:webHidden/>
          </w:rPr>
          <w:fldChar w:fldCharType="separate"/>
        </w:r>
        <w:r>
          <w:rPr>
            <w:noProof/>
            <w:webHidden/>
          </w:rPr>
          <w:t>53</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t>Brackets for linguistic notation</w:t>
      </w:r>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numeric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27" w:name="_Toc201845357"/>
      <w:r>
        <w:t>Fonts and supported characters</w:t>
      </w:r>
      <w:bookmarkEnd w:id="2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28" w:name="_Toc201845358"/>
      <w:r>
        <w:lastRenderedPageBreak/>
        <w:t>Entering Unicode characters</w:t>
      </w:r>
      <w:bookmarkEnd w:id="2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29" w:name="_Ref17798779"/>
      <w:bookmarkStart w:id="30" w:name="_Toc17811416"/>
      <w:bookmarkStart w:id="31" w:name="_Toc17811471"/>
      <w:bookmarkStart w:id="32" w:name="_Toc201845359"/>
      <w:r>
        <w:t>Precomposed characters</w:t>
      </w:r>
      <w:bookmarkEnd w:id="32"/>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bookmarkEnd w:id="29"/>
    <w:bookmarkEnd w:id="30"/>
    <w:bookmarkEnd w:id="31"/>
    <w:p>
      <w:pPr>
        <w:pStyle w:val="Cmsor1"/>
      </w:pPr>
      <w:r>
        <w:lastRenderedPageBreak/>
        <w:t xml:space="preserve">Theoretical </w:t>
      </w:r>
      <w:bookmarkEnd w:id="26"/>
      <w:r>
        <w:t>framework</w:t>
      </w:r>
    </w:p>
    <w:p>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4" w:name="_Ref199836098"/>
      <w:r>
        <w:t>Scripts and writing systems</w:t>
      </w:r>
      <w:bookmarkEnd w:id="34"/>
    </w:p>
    <w:p>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6" w:name="_Toc199757533"/>
      <w:bookmarkStart w:id="37" w:name="_Ref199836122"/>
      <w:bookmarkStart w:id="38" w:name="_Toc201845360"/>
      <w:r>
        <w:t>Writing system typology</w:t>
      </w:r>
      <w:bookmarkEnd w:id="36"/>
      <w:bookmarkEnd w:id="37"/>
      <w:bookmarkEnd w:id="38"/>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r>
        <w:t>Conversion between writing systems</w:t>
      </w:r>
    </w:p>
    <w:p>
      <w:pPr>
        <w:pStyle w:val="Cmsor3"/>
      </w:pPr>
      <w:bookmarkStart w:id="39" w:name="_Toc199757534"/>
      <w:bookmarkStart w:id="40" w:name="_Ref199836165"/>
      <w:bookmarkStart w:id="41" w:name="_Ref199919583"/>
      <w:bookmarkStart w:id="42" w:name="_Ref201332702"/>
      <w:bookmarkStart w:id="43" w:name="_Ref201566348"/>
      <w:bookmarkStart w:id="44" w:name="_Toc201845361"/>
      <w:r>
        <w:t>Transliteration and transcription</w:t>
      </w:r>
      <w:bookmarkEnd w:id="33"/>
      <w:bookmarkEnd w:id="39"/>
      <w:bookmarkEnd w:id="40"/>
      <w:bookmarkEnd w:id="41"/>
      <w:bookmarkEnd w:id="42"/>
      <w:bookmarkEnd w:id="43"/>
      <w:bookmarkEnd w:id="4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45" w:name="_Ref199919844"/>
      <w:r>
        <w:t>The elusive grapheme</w:t>
      </w:r>
      <w:bookmarkEnd w:id="45"/>
    </w:p>
    <w:p>
      <w:r>
        <w:rPr>
          <w:lang w:bidi="sa-IN"/>
        </w:rPr>
        <w:t xml:space="preserve">With this, we come to muddier waters. What actually is a grapheme? </w:t>
      </w:r>
      <w:proofErr w:type="spellStart"/>
      <w:r>
        <w:rPr>
          <w:lang w:bidi="sa-IN"/>
        </w:rPr>
        <w:t>Wellisch</w:t>
      </w:r>
      <w:proofErr w:type="spellEnd"/>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46" w:name="_Toc199757536"/>
      <w:bookmarkStart w:id="47" w:name="_Ref199757675"/>
      <w:bookmarkStart w:id="48" w:name="_Ref199836484"/>
      <w:bookmarkStart w:id="49" w:name="_Ref199837510"/>
      <w:bookmarkStart w:id="50" w:name="_Ref201314318"/>
      <w:bookmarkStart w:id="51" w:name="_Toc201845362"/>
      <w:r>
        <w:t>A sketch of grapholinguistic concepts</w:t>
      </w:r>
      <w:bookmarkEnd w:id="46"/>
      <w:bookmarkEnd w:id="47"/>
      <w:bookmarkEnd w:id="48"/>
      <w:bookmarkEnd w:id="49"/>
      <w:bookmarkEnd w:id="50"/>
      <w:bookmarkEnd w:id="51"/>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52" w:name="_Toc199757537"/>
      <w:bookmarkStart w:id="53" w:name="_Ref199836416"/>
      <w:bookmarkStart w:id="54" w:name="_Hlk197440259"/>
      <w:bookmarkStart w:id="55" w:name="_Toc201845363"/>
      <w:r>
        <w:t>Refining the concept of the grapheme</w:t>
      </w:r>
      <w:bookmarkEnd w:id="52"/>
      <w:bookmarkEnd w:id="53"/>
      <w:bookmarkEnd w:id="5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57" w:name="_Ref201332552"/>
      <w:bookmarkStart w:id="58" w:name="_Toc201845364"/>
      <w:r>
        <w:t>The linguistic aspect of the grapheme</w:t>
      </w:r>
      <w:bookmarkEnd w:id="57"/>
      <w:bookmarkEnd w:id="58"/>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pPr>
        <w:pStyle w:val="Cmsor4"/>
      </w:pPr>
      <w:bookmarkStart w:id="61" w:name="_Ref199774168"/>
      <w:bookmarkStart w:id="62" w:name="_Hlk197676370"/>
      <w:bookmarkStart w:id="63" w:name="_Toc201845365"/>
      <w:r>
        <w:t>The graphic aspect of the grapheme</w:t>
      </w:r>
      <w:bookmarkEnd w:id="61"/>
      <w:bookmarkEnd w:id="63"/>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r>
        <w:rPr>
          <w:lang w:bidi="sa-IN"/>
        </w:rPr>
        <w:t>Graphic structures and their elements</w:t>
      </w:r>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1845366"/>
      <w:r>
        <w:rPr>
          <w:lang w:bidi="sa-IN"/>
        </w:rPr>
        <w:t>Characters and glyphs</w:t>
      </w:r>
      <w:bookmarkEnd w:id="66"/>
      <w:bookmarkEnd w:id="67"/>
      <w:bookmarkEnd w:id="68"/>
      <w:bookmarkEnd w:id="69"/>
      <w:bookmarkEnd w:id="70"/>
      <w:bookmarkEnd w:id="71"/>
      <w:bookmarkEnd w:id="72"/>
      <w:bookmarkEnd w:id="73"/>
      <w:bookmarkEnd w:id="74"/>
      <w:bookmarkEnd w:id="75"/>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1845367"/>
      <w:r>
        <w:rPr>
          <w:lang w:bidi="sa-IN"/>
        </w:rPr>
        <w:t>Polygraphy</w:t>
      </w:r>
      <w:bookmarkEnd w:id="79"/>
      <w:bookmarkEnd w:id="80"/>
      <w:bookmarkEnd w:id="81"/>
      <w:bookmarkEnd w:id="82"/>
      <w:bookmarkEnd w:id="83"/>
      <w:bookmarkEnd w:id="84"/>
      <w:bookmarkEnd w:id="85"/>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4"/>
      </w:r>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6" w:name="_Toc199757540"/>
      <w:bookmarkStart w:id="87" w:name="_Ref199836617"/>
      <w:bookmarkStart w:id="88" w:name="_Ref201138161"/>
      <w:bookmarkStart w:id="89" w:name="_Ref201235583"/>
      <w:bookmarkStart w:id="90" w:name="_Toc201845368"/>
      <w:r>
        <w:t>Glyph complexity</w:t>
      </w:r>
      <w:bookmarkEnd w:id="86"/>
      <w:bookmarkEnd w:id="87"/>
      <w:bookmarkEnd w:id="88"/>
      <w:bookmarkEnd w:id="89"/>
      <w:bookmarkEnd w:id="90"/>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91" w:name="_Ref199775450"/>
      <w:bookmarkStart w:id="92" w:name="_Toc201845369"/>
      <w:r>
        <w:t>Glyph components</w:t>
      </w:r>
      <w:bookmarkEnd w:id="91"/>
      <w:bookmarkEnd w:id="92"/>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93" w:name="_Ref201138189"/>
      <w:bookmarkStart w:id="94" w:name="_Toc201845370"/>
      <w:r>
        <w:t>Markers</w:t>
      </w:r>
      <w:bookmarkEnd w:id="93"/>
      <w:bookmarkEnd w:id="94"/>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95" w:name="_Ref199836662"/>
      <w:bookmarkStart w:id="96" w:name="_Toc201845371"/>
      <w:r>
        <w:t>Graphic elements</w:t>
      </w:r>
      <w:bookmarkEnd w:id="95"/>
      <w:bookmarkEnd w:id="96"/>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r>
        <w:t>Problematic cases: what is a grapheme, and what is not?</w:t>
      </w:r>
    </w:p>
    <w:p>
      <w:pPr>
        <w:pStyle w:val="Cmsor3"/>
        <w:rPr>
          <w:rStyle w:val="Foreign"/>
          <w:i w:val="0"/>
          <w:iCs w:val="0"/>
        </w:rPr>
      </w:pPr>
      <w:bookmarkStart w:id="97" w:name="_Toc199757541"/>
      <w:bookmarkStart w:id="98" w:name="_Ref199770578"/>
      <w:bookmarkStart w:id="99" w:name="_Ref199836695"/>
      <w:bookmarkStart w:id="100" w:name="_Ref201243291"/>
      <w:bookmarkStart w:id="101" w:name="_Toc201845372"/>
      <w:r>
        <w:rPr>
          <w:rStyle w:val="Foreign"/>
        </w:rPr>
        <w:t>Diacritical marks</w:t>
      </w:r>
      <w:bookmarkEnd w:id="97"/>
      <w:bookmarkEnd w:id="98"/>
      <w:bookmarkEnd w:id="99"/>
      <w:bookmarkEnd w:id="100"/>
      <w:bookmarkEnd w:id="101"/>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02" w:name="_Ref201072554"/>
      <w:r>
        <w:rPr>
          <w:rStyle w:val="Lbjegyzet-hivatkozs"/>
        </w:rPr>
        <w:footnoteReference w:id="61"/>
      </w:r>
      <w:bookmarkEnd w:id="10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03" w:name="_Toc199757542"/>
      <w:bookmarkStart w:id="104" w:name="_Ref199774821"/>
      <w:bookmarkStart w:id="105" w:name="_Ref199777633"/>
      <w:bookmarkStart w:id="106" w:name="_Ref199778443"/>
      <w:bookmarkStart w:id="107" w:name="_Ref201135816"/>
      <w:bookmarkStart w:id="108" w:name="_Ref201159962"/>
      <w:bookmarkStart w:id="109" w:name="_Toc201845373"/>
      <w:r>
        <w:rPr>
          <w:rStyle w:val="Foreign"/>
        </w:rPr>
        <w:t>Virāma</w:t>
      </w:r>
      <w:bookmarkEnd w:id="103"/>
      <w:bookmarkEnd w:id="104"/>
      <w:bookmarkEnd w:id="105"/>
      <w:bookmarkEnd w:id="106"/>
      <w:bookmarkEnd w:id="107"/>
      <w:bookmarkEnd w:id="108"/>
      <w:bookmarkEnd w:id="109"/>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10" w:name="_Toc199757543"/>
      <w:bookmarkStart w:id="111" w:name="_Toc201845374"/>
      <w:r>
        <w:rPr>
          <w:rStyle w:val="Foreign"/>
        </w:rPr>
        <w:t>Anusvāra</w:t>
      </w:r>
      <w:r>
        <w:t xml:space="preserve"> relatives</w:t>
      </w:r>
      <w:bookmarkEnd w:id="110"/>
      <w:bookmarkEnd w:id="111"/>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12" w:name="_Toc199757544"/>
      <w:bookmarkStart w:id="113" w:name="_Toc201845375"/>
      <w:r>
        <w:lastRenderedPageBreak/>
        <w:t>Other signs of vague status</w:t>
      </w:r>
      <w:bookmarkEnd w:id="112"/>
      <w:bookmarkEnd w:id="113"/>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4" w:name="_Ref199757158"/>
      <w:bookmarkStart w:id="115" w:name="_Toc199757545"/>
      <w:bookmarkStart w:id="116" w:name="_Toc201845376"/>
      <w:r>
        <w:t>Non-phonographic signs</w:t>
      </w:r>
      <w:bookmarkEnd w:id="114"/>
      <w:bookmarkEnd w:id="115"/>
      <w:bookmarkEnd w:id="116"/>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numeric sign</w:t>
      </w:r>
      <w:r>
        <w:rPr>
          <w:rStyle w:val="Lbjegyzet-hivatkozs"/>
        </w:rPr>
        <w:footnoteReference w:id="70"/>
      </w:r>
      <w:r>
        <w:t xml:space="preserve">or </w:t>
      </w:r>
      <w:r>
        <w:rPr>
          <w:b/>
          <w:bCs/>
        </w:rPr>
        <w:t>cipher</w:t>
      </w:r>
      <w:r>
        <w:t xml:space="preserve"> is one that denotes a number, transliterated as per #§. Alphabetic and numeric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7" w:name="_Toc199757546"/>
      <w:bookmarkStart w:id="118" w:name="_Ref199772431"/>
      <w:bookmarkStart w:id="119" w:name="_Ref199772437"/>
      <w:bookmarkStart w:id="120" w:name="_Ref199774907"/>
      <w:bookmarkStart w:id="121" w:name="_Ref199838036"/>
      <w:bookmarkStart w:id="122" w:name="_Ref201068928"/>
      <w:bookmarkStart w:id="123" w:name="_Toc201845377"/>
      <w:r>
        <w:lastRenderedPageBreak/>
        <w:t>Fuzzy segmentation</w:t>
      </w:r>
      <w:bookmarkEnd w:id="117"/>
      <w:bookmarkEnd w:id="118"/>
      <w:bookmarkEnd w:id="119"/>
      <w:bookmarkEnd w:id="120"/>
      <w:bookmarkEnd w:id="121"/>
      <w:bookmarkEnd w:id="122"/>
      <w:bookmarkEnd w:id="123"/>
    </w:p>
    <w:p>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1"/>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4" w:name="_Ref201150752"/>
      <w:bookmarkStart w:id="125" w:name="_Toc201845378"/>
      <w:r>
        <w:t>Character or component?</w:t>
      </w:r>
      <w:bookmarkEnd w:id="124"/>
      <w:bookmarkEnd w:id="125"/>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2"/>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6" w:name="_Ref201151444"/>
      <w:bookmarkStart w:id="127" w:name="_Toc201845379"/>
      <w:r>
        <w:t>Component or element?</w:t>
      </w:r>
      <w:bookmarkEnd w:id="126"/>
      <w:bookmarkEnd w:id="127"/>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3"/>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28" w:name="_Ref201326319"/>
      <w:r>
        <w:rPr>
          <w:rStyle w:val="Lbjegyzet-hivatkozs"/>
        </w:rPr>
        <w:footnoteReference w:id="74"/>
      </w:r>
      <w:bookmarkEnd w:id="128"/>
      <w:r>
        <w:rPr>
          <w:rFonts w:cs="Latha"/>
          <w:lang w:bidi="ta-IN"/>
        </w:rPr>
        <w:t xml:space="preserve"> Analogous dual </w:t>
      </w:r>
      <w:r>
        <w:rPr>
          <w:rFonts w:cs="Latha"/>
          <w:lang w:bidi="ta-IN"/>
        </w:rPr>
        <w:lastRenderedPageBreak/>
        <w:t>patterning is present in other aspects of language as well: some morphemes (i.e. meaningful</w:t>
      </w:r>
      <w:r>
        <w:rPr>
          <w:rStyle w:val="Lbjegyzet-hivatkozs"/>
          <w:rFonts w:cs="Latha"/>
          <w:lang w:bidi="ta-IN"/>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29" w:name="_Ref199778013"/>
      <w:r>
        <w:t>Revisiting allography</w:t>
      </w:r>
      <w:bookmarkEnd w:id="129"/>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0"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lastRenderedPageBreak/>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1" w:name="_Ref199772349"/>
      <w:r>
        <w:rPr>
          <w:rStyle w:val="Lbjegyzet-hivatkozs"/>
        </w:rPr>
        <w:footnoteReference w:id="81"/>
      </w:r>
      <w:bookmarkEnd w:id="131"/>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w:t>
      </w:r>
      <w:r>
        <w:lastRenderedPageBreak/>
        <w:t>(as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2" w:name="_57r22m5k1jra" w:colFirst="0" w:colLast="0"/>
      <w:bookmarkStart w:id="133" w:name="_xkwt6pqamcvz" w:colFirst="0" w:colLast="0"/>
      <w:bookmarkStart w:id="134" w:name="_Toc17811419"/>
      <w:bookmarkStart w:id="135" w:name="_Toc17811474"/>
      <w:bookmarkEnd w:id="20"/>
      <w:bookmarkEnd w:id="21"/>
      <w:bookmarkEnd w:id="22"/>
      <w:bookmarkEnd w:id="23"/>
      <w:bookmarkEnd w:id="54"/>
      <w:bookmarkEnd w:id="62"/>
      <w:bookmarkEnd w:id="130"/>
      <w:bookmarkEnd w:id="132"/>
      <w:bookmarkEnd w:id="133"/>
      <w:r>
        <w:lastRenderedPageBreak/>
        <w:t>General principles</w:t>
      </w:r>
      <w:bookmarkStart w:id="136" w:name="_Ref199919606"/>
      <w:r>
        <w:t xml:space="preserve"> of the DHARMA transliteration scheme</w:t>
      </w:r>
    </w:p>
    <w:p>
      <w:pPr>
        <w:pStyle w:val="Cmsor2"/>
      </w:pPr>
      <w:r>
        <w:t>Compatibility with other transliteration systems</w:t>
      </w:r>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pPr>
        <w:pStyle w:val="Cmsor2"/>
      </w:pPr>
      <w:bookmarkStart w:id="137" w:name="_lop6n9htgo3f" w:colFirst="0" w:colLast="0"/>
      <w:bookmarkEnd w:id="137"/>
      <w:r>
        <w:t>Graphematic entities in transliteration</w:t>
      </w:r>
    </w:p>
    <w:p>
      <w:pPr>
        <w:pStyle w:val="Cmsor3"/>
      </w:pPr>
      <w:bookmarkStart w:id="138" w:name="_Toc201845380"/>
      <w:r>
        <w:t>Transliterating graphemes</w:t>
      </w:r>
      <w:bookmarkEnd w:id="136"/>
      <w:bookmarkEnd w:id="138"/>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39" w:name="_Ref199923780"/>
      <w:bookmarkStart w:id="140" w:name="_Ref201566179"/>
      <w:bookmarkStart w:id="141" w:name="_Ref201568207"/>
      <w:bookmarkStart w:id="142" w:name="_Toc201845381"/>
      <w:r>
        <w:lastRenderedPageBreak/>
        <w:t>Transliterating complex characters and allograph</w:t>
      </w:r>
      <w:bookmarkEnd w:id="139"/>
      <w:bookmarkEnd w:id="140"/>
      <w:r>
        <w:t>s</w:t>
      </w:r>
      <w:bookmarkEnd w:id="141"/>
      <w:bookmarkEnd w:id="142"/>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or XML-based (EGD §###) editorial markup to indicate which target graphemes belong to a single complex source character, when this is not straightforward on the basis of the general rules of the writing system.</w:t>
      </w:r>
    </w:p>
    <w:p>
      <w:pPr>
        <w:pStyle w:val="Normlbehzs"/>
      </w:pPr>
      <w:r>
        <w:t>Conversely, attempting to reflect graphetic allography (§</w:t>
      </w:r>
      <w:r>
        <w:fldChar w:fldCharType="begin"/>
      </w:r>
      <w:r>
        <w:instrText xml:space="preserve"> REF _Ref199778013 \r \h </w:instrText>
      </w:r>
      <w:r>
        <w:fldChar w:fldCharType="separate"/>
      </w:r>
      <w:r>
        <w:t>2.6</w:t>
      </w:r>
      <w:r>
        <w:fldChar w:fldCharType="end"/>
      </w:r>
      <w:r>
        <w:t>) in transliteration would complicate the transliteration scheme by an order of magnitude, without much tangible gain in return. Therefore, we have deliberately chosen to ignore graphetic allographs in our transliteration. When deemed interesting or potentially relevant to scholarly study, allographic variation — for instance the use of two alternative glyphs within the same inscription for the same simplex character, or different ways in which a vowel marker is attached to a consonant — can be noted in your palaeographic description, but will not be directly represented in the transliteration or the markup.</w:t>
      </w:r>
    </w:p>
    <w:p>
      <w:pPr>
        <w:pStyle w:val="Cmsor2"/>
      </w:pPr>
      <w:bookmarkStart w:id="143" w:name="_Toc17811420"/>
      <w:bookmarkStart w:id="144" w:name="_Toc17811475"/>
      <w:bookmarkStart w:id="145" w:name="_Ref201234004"/>
      <w:r>
        <w:t>Case sensitivity</w:t>
      </w:r>
      <w:bookmarkEnd w:id="143"/>
      <w:bookmarkEnd w:id="144"/>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Strict DHARMA transliteration, in contrast, is case sensitive in order to give distinction to graphematic allographs in transliteration. Uppercase letters in our scheme stand for the independent forms of Indic 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46" w:name="_Ref26431293"/>
      <w:bookmarkStart w:id="147" w:name="_Toc199757554"/>
      <w:bookmarkStart w:id="148" w:name="_Toc201845382"/>
      <w:r>
        <w:t>A note on the use of uppercase for independent vowels and consonants</w:t>
      </w:r>
      <w:bookmarkEnd w:id="146"/>
      <w:bookmarkEnd w:id="147"/>
      <w:bookmarkEnd w:id="148"/>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lastRenderedPageBreak/>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r>
        <w:t>The accuracy of transliteration</w:t>
      </w:r>
      <w:bookmarkEnd w:id="145"/>
    </w:p>
    <w:p>
      <w:pPr>
        <w:pStyle w:val="Cmsor3"/>
      </w:pPr>
      <w:bookmarkStart w:id="149" w:name="_Ref201051366"/>
      <w:bookmarkStart w:id="150" w:name="_Toc201845383"/>
      <w:r>
        <w:t>Strict transliteration</w:t>
      </w:r>
      <w:bookmarkEnd w:id="149"/>
      <w:bookmarkEnd w:id="150"/>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1" w:name="_Ref201561859"/>
      <w:bookmarkStart w:id="152" w:name="_Toc201845384"/>
      <w:r>
        <w:t>Loose transliteration</w:t>
      </w:r>
      <w:bookmarkEnd w:id="151"/>
      <w:bookmarkEnd w:id="152"/>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lastRenderedPageBreak/>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53" w:name="_qpap16rwdsff" w:colFirst="0" w:colLast="0"/>
      <w:bookmarkEnd w:id="153"/>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54" w:name="_dl6swhvlsuez" w:colFirst="0" w:colLast="0"/>
      <w:bookmarkStart w:id="155" w:name="_h0qcxcudl6x2" w:colFirst="0" w:colLast="0"/>
      <w:bookmarkStart w:id="156" w:name="_Ref15558380"/>
      <w:bookmarkStart w:id="157" w:name="_Toc17811421"/>
      <w:bookmarkStart w:id="158" w:name="_Toc17811476"/>
      <w:bookmarkStart w:id="159" w:name="_Toc17811422"/>
      <w:bookmarkStart w:id="160" w:name="_Toc17811477"/>
      <w:bookmarkStart w:id="161" w:name="_Ref199854844"/>
      <w:bookmarkStart w:id="162" w:name="_Toc199757553"/>
      <w:bookmarkEnd w:id="134"/>
      <w:bookmarkEnd w:id="135"/>
      <w:bookmarkEnd w:id="154"/>
      <w:bookmarkEnd w:id="155"/>
      <w:r>
        <w:t>Disambiguation</w:t>
      </w:r>
      <w:bookmarkEnd w:id="156"/>
      <w:bookmarkEnd w:id="157"/>
      <w:bookmarkEnd w:id="158"/>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t>3.7</w:t>
      </w:r>
      <w:r>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2"/>
      </w:pPr>
      <w:r>
        <w:t>Transliteration and TEI encoding</w:t>
      </w:r>
    </w:p>
    <w:p>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w:t>
      </w:r>
      <w:r>
        <w:lastRenderedPageBreak/>
        <w:t>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pPr>
        <w:pStyle w:val="Cmsor2"/>
      </w:pPr>
      <w:bookmarkStart w:id="163" w:name="_Ref201052141"/>
      <w:bookmarkStart w:id="164" w:name="_Ref199928147"/>
      <w:bookmarkStart w:id="165" w:name="_Ref15564928"/>
      <w:bookmarkStart w:id="166" w:name="_Toc17811423"/>
      <w:bookmarkStart w:id="167" w:name="_Toc17811478"/>
      <w:bookmarkStart w:id="168" w:name="_Toc199757555"/>
      <w:r>
        <w:t>Shorthand</w:t>
      </w:r>
      <w:bookmarkEnd w:id="163"/>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3"/>
      </w:pPr>
      <w:bookmarkStart w:id="169" w:name="_Toc201845385"/>
      <w:r>
        <w:t>Transliteration shorthand</w:t>
      </w:r>
      <w:bookmarkEnd w:id="169"/>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pPr>
        <w:pStyle w:val="Lista2"/>
      </w:pPr>
      <w:r>
        <w:lastRenderedPageBreak/>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3"/>
      </w:pPr>
      <w:bookmarkStart w:id="170" w:name="_Toc201845386"/>
      <w:r>
        <w:t>Private markup shorthand</w:t>
      </w:r>
      <w:bookmarkEnd w:id="170"/>
    </w:p>
    <w:p>
      <w:r>
        <w:t>editorial stuff that had better be encoded but may need simple representation in loose transliteration and has probably been used by project members with the expectation that it will be auto-converted to markup</w:t>
      </w:r>
    </w:p>
    <w:p>
      <w:pPr>
        <w:pStyle w:val="Lista"/>
      </w:pPr>
      <w:proofErr w:type="spellStart"/>
      <w:r>
        <w:t>avagraha</w:t>
      </w:r>
      <w:proofErr w:type="spellEnd"/>
      <w:r>
        <w:t>: still need decision whether public or private, and whether</w:t>
      </w:r>
    </w:p>
    <w:p>
      <w:pPr>
        <w:pStyle w:val="Lista2"/>
      </w:pPr>
      <w:r>
        <w:t xml:space="preserve">’ is shorthand for &lt;supplied reason="subaudible"&gt;’&lt;/supplied&gt; and original </w:t>
      </w:r>
      <w:proofErr w:type="spellStart"/>
      <w:r>
        <w:t>avagrahas</w:t>
      </w:r>
      <w:proofErr w:type="spellEnd"/>
      <w:r>
        <w:t xml:space="preserve"> get no markup; or</w:t>
      </w:r>
    </w:p>
    <w:p>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pPr>
        <w:pStyle w:val="Lista"/>
      </w:pPr>
      <w:r>
        <w:t>§</w:t>
      </w:r>
      <w:r>
        <w:fldChar w:fldCharType="begin"/>
      </w:r>
      <w:r>
        <w:instrText xml:space="preserve"> REF _Ref199858237 \r \h </w:instrText>
      </w:r>
      <w:r>
        <w:fldChar w:fldCharType="separate"/>
      </w:r>
      <w:r>
        <w:t>6.3.2</w:t>
      </w:r>
      <w:r>
        <w:fldChar w:fldCharType="end"/>
      </w:r>
      <w:r>
        <w:t xml:space="preserve"> §</w:t>
      </w:r>
      <w:proofErr w:type="spellStart"/>
      <w:r>
        <w:t>abc</w:t>
      </w:r>
      <w:proofErr w:type="spellEnd"/>
      <w:r>
        <w:t xml:space="preserve"> for space fillers of a particular shape</w:t>
      </w:r>
    </w:p>
    <w:p>
      <w:pPr>
        <w:pStyle w:val="Lista"/>
      </w:pPr>
      <w:r>
        <w:t>§</w:t>
      </w:r>
      <w:r>
        <w:fldChar w:fldCharType="begin"/>
      </w:r>
      <w:r>
        <w:instrText xml:space="preserve"> REF _Ref199858345 \r \h </w:instrText>
      </w:r>
      <w:r>
        <w:fldChar w:fldCharType="separate"/>
      </w:r>
      <w:r>
        <w:t>6.3.4</w:t>
      </w:r>
      <w:r>
        <w:fldChar w:fldCharType="end"/>
      </w:r>
      <w:r>
        <w:t xml:space="preserve"> $</w:t>
      </w:r>
      <w:proofErr w:type="spellStart"/>
      <w:r>
        <w:t>abc</w:t>
      </w:r>
      <w:proofErr w:type="spellEnd"/>
      <w:r>
        <w:t xml:space="preserve"> for symbols</w:t>
      </w:r>
    </w:p>
    <w:p>
      <w:pPr>
        <w:pStyle w:val="Cmsor3"/>
      </w:pPr>
      <w:bookmarkStart w:id="171" w:name="_Toc201845387"/>
      <w:r>
        <w:t>Public/optional markup shorthand</w:t>
      </w:r>
      <w:bookmarkEnd w:id="171"/>
    </w:p>
    <w:p>
      <w:r>
        <w:rPr>
          <w:lang w:eastAsia="en-US" w:bidi="ar-SA"/>
        </w:rPr>
        <w:t>keep only a list here, and the detailed descriptions in the referenced sections</w:t>
      </w:r>
    </w:p>
    <w:p>
      <w:pPr>
        <w:pStyle w:val="Lista"/>
      </w:pPr>
      <w:r>
        <w:t>the Tamil sandhi thing</w:t>
      </w:r>
    </w:p>
    <w:p>
      <w:pPr>
        <w:pStyle w:val="Lista2"/>
      </w:pPr>
      <w:proofErr w:type="spellStart"/>
      <w:r>
        <w:t>Tamilex</w:t>
      </w:r>
      <w:proofErr w:type="spellEnd"/>
      <w:r>
        <w:t>: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pPr>
        <w:pStyle w:val="Lista"/>
      </w:pPr>
      <w:r>
        <w:t>??Indonesian short vowels where long expected</w:t>
      </w:r>
    </w:p>
    <w:p>
      <w:pPr>
        <w:pStyle w:val="Lista"/>
      </w:pPr>
      <w:r>
        <w:t>§</w:t>
      </w:r>
      <w:r>
        <w:fldChar w:fldCharType="begin"/>
      </w:r>
      <w:r>
        <w:instrText xml:space="preserve"> REF _Ref199858079 \r \h </w:instrText>
      </w:r>
      <w:r>
        <w:fldChar w:fldCharType="separate"/>
      </w:r>
      <w:r>
        <w:t>6.1</w:t>
      </w:r>
      <w:r>
        <w:fldChar w:fldCharType="end"/>
      </w:r>
      <w:r>
        <w:t xml:space="preserve"> + for numeric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Cmsor2"/>
      </w:pPr>
      <w:bookmarkStart w:id="172" w:name="_Ref200959599"/>
      <w:r>
        <w:t>Low-level editorial markup in transliteration</w:t>
      </w:r>
      <w:bookmarkEnd w:id="164"/>
      <w:bookmarkEnd w:id="172"/>
    </w:p>
    <w:p>
      <w:r>
        <w:t>, are in fact also a kind of shorthand replacing more complex computer markup, and may in the future be automatically replaced with such</w:t>
      </w:r>
    </w:p>
    <w:p/>
    <w:p>
      <w:pPr>
        <w:pStyle w:val="Lista"/>
      </w:pPr>
      <w:r>
        <w:t>@@@as a general rule, do not add anything to your transliteration that is not already present in the original text</w:t>
      </w:r>
    </w:p>
    <w:p>
      <w:pPr>
        <w:pStyle w:val="Lista"/>
      </w:pPr>
      <w:r>
        <w:t>in order to handle editorial additions and alterations, you must rely on markup; see EGD §6</w:t>
      </w:r>
    </w:p>
    <w:p>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pPr>
        <w:pStyle w:val="Lista"/>
      </w:pPr>
      <w:r>
        <w:t>@add some intro here or in subsection about</w:t>
      </w:r>
    </w:p>
    <w:p>
      <w:pPr>
        <w:pStyle w:val="Lista2"/>
      </w:pPr>
      <w:r>
        <w:t>how transliteration always involves some subjective interpretation</w:t>
      </w:r>
    </w:p>
    <w:p>
      <w:pPr>
        <w:pStyle w:val="Lista2"/>
      </w:pPr>
      <w:r>
        <w:t xml:space="preserve">and the treatment of </w:t>
      </w:r>
      <w:proofErr w:type="spellStart"/>
      <w:r>
        <w:t>homography</w:t>
      </w:r>
      <w:proofErr w:type="spellEnd"/>
      <w:r>
        <w:t>, with benefit of the doubt for the scribe or editorial normalisation</w:t>
      </w:r>
    </w:p>
    <w:p>
      <w:pPr>
        <w:pStyle w:val="Lista3"/>
      </w:pPr>
      <w:r>
        <w:t xml:space="preserve">e.g. short or long </w:t>
      </w:r>
      <w:proofErr w:type="spellStart"/>
      <w:r>
        <w:t>i</w:t>
      </w:r>
      <w:proofErr w:type="spellEnd"/>
      <w:r>
        <w:t>; subscript ṇ looks like n, whatever</w:t>
      </w:r>
    </w:p>
    <w:p>
      <w:pPr>
        <w:pStyle w:val="Lista"/>
      </w:pPr>
      <w:r>
        <w:t>integral parts of the transliteration system:</w:t>
      </w:r>
    </w:p>
    <w:p>
      <w:pPr>
        <w:pStyle w:val="Lista2"/>
      </w:pPr>
      <w:r>
        <w:t>the disambiguation colon, which is not really editorial markup, so best keep it separate as now</w:t>
      </w:r>
    </w:p>
    <w:p>
      <w:pPr>
        <w:pStyle w:val="Lista2"/>
      </w:pPr>
      <w:r>
        <w:t>the ceilings, which are markup but don’t have a feasible encoding alternative</w:t>
      </w:r>
    </w:p>
    <w:p>
      <w:pPr>
        <w:pStyle w:val="Lista"/>
      </w:pPr>
      <w:r>
        <w:t>basic things which we don’t want to do by encoding but could</w:t>
      </w:r>
    </w:p>
    <w:p>
      <w:pPr>
        <w:pStyle w:val="Lista2"/>
      </w:pPr>
      <w:r>
        <w:t>word spacing</w:t>
      </w:r>
    </w:p>
    <w:p>
      <w:pPr>
        <w:pStyle w:val="Lista2"/>
      </w:pPr>
      <w:r>
        <w:t>hyphen</w:t>
      </w:r>
    </w:p>
    <w:bookmarkEnd w:id="165"/>
    <w:bookmarkEnd w:id="166"/>
    <w:bookmarkEnd w:id="167"/>
    <w:bookmarkEnd w:id="168"/>
    <w:p>
      <w:pPr>
        <w:pStyle w:val="Cmsor2"/>
      </w:pPr>
      <w:r>
        <w:t>@DESCRIPTIVE: ENCODING PREFERRED</w:t>
      </w:r>
    </w:p>
    <w:p>
      <w:pPr>
        <w:rPr>
          <w:lang w:eastAsia="en-US" w:bidi="ar-SA"/>
        </w:rPr>
      </w:pPr>
      <w:r>
        <w:rPr>
          <w:lang w:eastAsia="en-US" w:bidi="ar-SA"/>
        </w:rPr>
        <w:t>this is a skeleton for listing these features, but I now think it will be better to treat them in the appropriate sections, and only refer to them from here</w:t>
      </w:r>
    </w:p>
    <w:p>
      <w:pPr>
        <w:pStyle w:val="Cmsor3"/>
      </w:pPr>
      <w:bookmarkStart w:id="173" w:name="_Toc201845388"/>
      <w:r>
        <w:t xml:space="preserve">Representation of </w:t>
      </w:r>
      <w:r>
        <w:rPr>
          <w:rStyle w:val="Foreign"/>
        </w:rPr>
        <w:t>akṣara</w:t>
      </w:r>
      <w:r>
        <w:t xml:space="preserve"> composition @i.e. graphetic particulars</w:t>
      </w:r>
      <w:bookmarkEnd w:id="173"/>
    </w:p>
    <w:p>
      <w:pPr>
        <w:pStyle w:val="Lista"/>
        <w:rPr>
          <w:lang w:eastAsia="en-US" w:bidi="ar-SA"/>
        </w:rPr>
      </w:pPr>
      <w:r>
        <w:rPr>
          <w:lang w:eastAsia="en-US" w:bidi="ar-SA"/>
        </w:rPr>
        <w:t>@at least mention here, a general thing on the = sign</w:t>
      </w:r>
    </w:p>
    <w:p>
      <w:pPr>
        <w:pStyle w:val="Cmsor3"/>
      </w:pPr>
      <w:bookmarkStart w:id="174" w:name="_Toc201845389"/>
      <w:r>
        <w:t xml:space="preserve">Split </w:t>
      </w:r>
      <w:r>
        <w:rPr>
          <w:rStyle w:val="Foreign"/>
        </w:rPr>
        <w:t>akṣaras</w:t>
      </w:r>
      <w:bookmarkEnd w:id="174"/>
    </w:p>
    <w:p>
      <w:pPr>
        <w:pStyle w:val="Lista"/>
        <w:rPr>
          <w:lang w:eastAsia="en-US" w:bidi="ar-SA"/>
        </w:rPr>
      </w:pPr>
      <w:r>
        <w:rPr>
          <w:lang w:eastAsia="en-US" w:bidi="ar-SA"/>
        </w:rPr>
        <w:t>the ceilings belong here</w:t>
      </w:r>
    </w:p>
    <w:p>
      <w:pPr>
        <w:pStyle w:val="Cmsor2"/>
      </w:pPr>
      <w:r>
        <w:t>@INTERPRETIVE ADDITIONS</w:t>
      </w:r>
    </w:p>
    <w:p>
      <w:pPr>
        <w:pStyle w:val="Cmsor3"/>
      </w:pPr>
      <w:bookmarkStart w:id="175" w:name="_Toc201845390"/>
      <w:r>
        <w:t>Editorial spaces for word segmentation</w:t>
      </w:r>
      <w:bookmarkEnd w:id="175"/>
    </w:p>
    <w:p>
      <w:r>
        <w:t>@either refer from here to spacing of numerals and symbols, or incorporate those here and change section title (perhaps add subsections)</w:t>
      </w:r>
    </w:p>
    <w:p>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pPr>
        <w:pStyle w:val="Lista"/>
      </w:pPr>
      <w:r>
        <w:t xml:space="preserve">emphatically, </w:t>
      </w:r>
      <w:r>
        <w:rPr>
          <w:b/>
          <w:bCs/>
        </w:rPr>
        <w:t>do add spaces</w:t>
      </w:r>
    </w:p>
    <w:p>
      <w:pPr>
        <w:pStyle w:val="Lista2"/>
      </w:pPr>
      <w:r>
        <w:t xml:space="preserve">where the end of one word and the beginning of the next word constitute a single </w:t>
      </w:r>
      <w:r>
        <w:rPr>
          <w:rStyle w:val="Foreign"/>
        </w:rPr>
        <w:t>akṣara</w:t>
      </w:r>
      <w:r>
        <w:t xml:space="preserve"> in the original</w:t>
      </w:r>
    </w:p>
    <w:p>
      <w:pPr>
        <w:pStyle w:val="Lista3"/>
      </w:pPr>
      <w:r>
        <w:t xml:space="preserve">even if such an </w:t>
      </w:r>
      <w:r>
        <w:rPr>
          <w:rStyle w:val="Foreign"/>
        </w:rPr>
        <w:t>akṣara</w:t>
      </w:r>
      <w:r>
        <w:t xml:space="preserve"> involves a sandhi modification, e.g.</w:t>
      </w:r>
    </w:p>
    <w:p>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pPr>
        <w:pStyle w:val="Lista4"/>
      </w:pPr>
      <w:r>
        <w:t xml:space="preserve">Sanskrit </w:t>
      </w:r>
      <w:r>
        <w:rPr>
          <w:rStyle w:val="Foreign"/>
        </w:rPr>
        <w:t>gacchaty eva</w:t>
      </w:r>
      <w:r>
        <w:t xml:space="preserve"> (space goes after the </w:t>
      </w:r>
      <w:r>
        <w:rPr>
          <w:rStyle w:val="Foreign"/>
        </w:rPr>
        <w:t>y</w:t>
      </w:r>
      <w:r>
        <w:t>)</w:t>
      </w:r>
    </w:p>
    <w:p>
      <w:pPr>
        <w:pStyle w:val="Lista4"/>
        <w:rPr>
          <w:i/>
          <w:noProof/>
        </w:rPr>
      </w:pPr>
      <w:r>
        <w:t xml:space="preserve">Sanskrit </w:t>
      </w:r>
      <w:r>
        <w:rPr>
          <w:rStyle w:val="Foreign"/>
        </w:rPr>
        <w:t>putrām̐l lakṣmīḥ</w:t>
      </w:r>
      <w:r>
        <w:t xml:space="preserve"> (space goes between the two </w:t>
      </w:r>
      <w:r>
        <w:rPr>
          <w:rStyle w:val="Foreign"/>
        </w:rPr>
        <w:t>l</w:t>
      </w:r>
      <w:r>
        <w:t>-s)</w:t>
      </w:r>
    </w:p>
    <w:p>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3.10.5</w:t>
      </w:r>
      <w:r>
        <w:fldChar w:fldCharType="end"/>
      </w:r>
      <w:r>
        <w:t xml:space="preserve"> for elision of </w:t>
      </w:r>
      <w:proofErr w:type="spellStart"/>
      <w:r>
        <w:t>overshort</w:t>
      </w:r>
      <w:proofErr w:type="spellEnd"/>
      <w:r>
        <w:t xml:space="preserve"> </w:t>
      </w:r>
      <w:r>
        <w:rPr>
          <w:rStyle w:val="Foreign"/>
        </w:rPr>
        <w:t>u</w:t>
      </w:r>
      <w:r>
        <w:t xml:space="preserve"> in Tamil)</w:t>
      </w:r>
    </w:p>
    <w:p>
      <w:pPr>
        <w:pStyle w:val="Lista3"/>
      </w:pPr>
      <w:r>
        <w:t>including non-standard sandhi and orthographic practice, e.g.</w:t>
      </w:r>
    </w:p>
    <w:p>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pPr>
        <w:pStyle w:val="Lista4"/>
      </w:pPr>
      <w:r>
        <w:t xml:space="preserve">Sanskrit </w:t>
      </w:r>
      <w:r>
        <w:rPr>
          <w:rStyle w:val="Foreign"/>
        </w:rPr>
        <w:t>dīnārair ddaśabhiḥ</w:t>
      </w:r>
    </w:p>
    <w:p>
      <w:pPr>
        <w:pStyle w:val="Lista4"/>
      </w:pPr>
      <w:r>
        <w:t xml:space="preserve">Old Javanese </w:t>
      </w:r>
      <w:r>
        <w:rPr>
          <w:rStyle w:val="Foreign"/>
        </w:rPr>
        <w:t>darpaṇa ryy avakta</w:t>
      </w:r>
    </w:p>
    <w:p>
      <w:pPr>
        <w:pStyle w:val="Lista2"/>
      </w:pPr>
      <w:r>
        <w:t xml:space="preserve">before an </w:t>
      </w:r>
      <w:r>
        <w:rPr>
          <w:rStyle w:val="Foreign"/>
        </w:rPr>
        <w:t>avagraha</w:t>
      </w:r>
      <w:r>
        <w:t>, unless it occurs within a compound</w:t>
      </w:r>
    </w:p>
    <w:p>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pPr>
        <w:pStyle w:val="Lista2"/>
      </w:pPr>
      <w:r>
        <w:lastRenderedPageBreak/>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xml:space="preserve">; including </w:t>
      </w:r>
      <w:proofErr w:type="spellStart"/>
      <w:r>
        <w:t>grammaticalised</w:t>
      </w:r>
      <w:proofErr w:type="spellEnd"/>
      <w:r>
        <w:t xml:space="preserve"> structures such as</w:t>
      </w:r>
    </w:p>
    <w:p>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pPr>
        <w:pStyle w:val="Lista3"/>
      </w:pPr>
      <w:r>
        <w:t xml:space="preserve">Sanskrit past tense formed with imperfect and </w:t>
      </w:r>
      <w:r>
        <w:rPr>
          <w:rStyle w:val="Foreign"/>
        </w:rPr>
        <w:t>sma</w:t>
      </w:r>
      <w:r>
        <w:t xml:space="preserve">, e.g. </w:t>
      </w:r>
      <w:r>
        <w:rPr>
          <w:rStyle w:val="Foreign"/>
        </w:rPr>
        <w:t>samādiśati sma</w:t>
      </w:r>
    </w:p>
    <w:p>
      <w:pPr>
        <w:pStyle w:val="Lista3"/>
      </w:pPr>
      <w:r>
        <w:t xml:space="preserve">Sanskrit formations with </w:t>
      </w:r>
      <w:r>
        <w:rPr>
          <w:rStyle w:val="Foreign"/>
        </w:rPr>
        <w:t>-sāt</w:t>
      </w:r>
      <w:r>
        <w:t xml:space="preserve"> prefixed to a verb such as </w:t>
      </w:r>
      <w:r>
        <w:rPr>
          <w:rStyle w:val="Foreign"/>
        </w:rPr>
        <w:t>brāhmaṇasād gatāḥ</w:t>
      </w:r>
    </w:p>
    <w:p>
      <w:pPr>
        <w:pStyle w:val="Lista3"/>
      </w:pPr>
      <w:r>
        <w:t xml:space="preserve">Sanskrit prepositions such as </w:t>
      </w:r>
      <w:r>
        <w:rPr>
          <w:rStyle w:val="Foreign"/>
        </w:rPr>
        <w:t>ā samudrāt</w:t>
      </w:r>
      <w:r>
        <w:t xml:space="preserve">, </w:t>
      </w:r>
      <w:r>
        <w:rPr>
          <w:rStyle w:val="Foreign"/>
        </w:rPr>
        <w:t>anu gaṅgām</w:t>
      </w:r>
    </w:p>
    <w:p>
      <w:pPr>
        <w:pStyle w:val="Lista2"/>
        <w:rPr>
          <w:rStyle w:val="Foreign"/>
        </w:rPr>
      </w:pPr>
      <w:r>
        <w:t>in repetitions of Sanskrit inflected pronouns and nouns (</w:t>
      </w:r>
      <w:proofErr w:type="spellStart"/>
      <w:r>
        <w:rPr>
          <w:rStyle w:val="Foreign"/>
        </w:rPr>
        <w:t>āmreḍita</w:t>
      </w:r>
      <w:proofErr w:type="spellEnd"/>
      <w:r>
        <w:t xml:space="preserve">) expressing a generalised or distributive meaning, e.g. </w:t>
      </w:r>
      <w:r>
        <w:rPr>
          <w:rStyle w:val="Foreign"/>
        </w:rPr>
        <w:t>yasya yasya</w:t>
      </w:r>
      <w:r>
        <w:t xml:space="preserve">, </w:t>
      </w:r>
      <w:r>
        <w:rPr>
          <w:rStyle w:val="Foreign"/>
        </w:rPr>
        <w:t>dine dine</w:t>
      </w:r>
    </w:p>
    <w:p>
      <w:pPr>
        <w:pStyle w:val="Lista"/>
      </w:pPr>
      <w:r>
        <w:rPr>
          <w:b/>
          <w:bCs/>
        </w:rPr>
        <w:t>do not</w:t>
      </w:r>
      <w:r>
        <w:t>, however, use spaces (nor hyphens) to separate</w:t>
      </w:r>
    </w:p>
    <w:p>
      <w:pPr>
        <w:pStyle w:val="Lista2"/>
      </w:pPr>
      <w:r>
        <w:t>successive words where the final vowel of the first and the initial vowel of the second are fused in vowel sandhi, e.g.</w:t>
      </w:r>
    </w:p>
    <w:p>
      <w:pPr>
        <w:pStyle w:val="Lista3"/>
      </w:pPr>
      <w:r>
        <w:rPr>
          <w:rStyle w:val="Foreign"/>
        </w:rPr>
        <w:t>tasyāyam</w:t>
      </w:r>
      <w:r>
        <w:t xml:space="preserve"> stays as is, though </w:t>
      </w:r>
      <w:r>
        <w:rPr>
          <w:rStyle w:val="Foreign"/>
        </w:rPr>
        <w:t>so yam</w:t>
      </w:r>
      <w:r>
        <w:t xml:space="preserve"> is separated</w:t>
      </w:r>
    </w:p>
    <w:p>
      <w:pPr>
        <w:pStyle w:val="Lista3"/>
      </w:pPr>
      <w:r>
        <w:rPr>
          <w:rStyle w:val="Foreign"/>
        </w:rPr>
        <w:t>gacchatīva</w:t>
      </w:r>
      <w:r>
        <w:t xml:space="preserve"> stays as is, though </w:t>
      </w:r>
      <w:r>
        <w:rPr>
          <w:rStyle w:val="Foreign"/>
        </w:rPr>
        <w:t>gacchaty eva</w:t>
      </w:r>
      <w:r>
        <w:t xml:space="preserve"> is separated</w:t>
      </w:r>
    </w:p>
    <w:p>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2"/>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pPr>
        <w:pStyle w:val="Lista2"/>
      </w:pPr>
      <w:r>
        <w:t>for Sanskrit close-knit structures borrowed into other languages, follow the spelling with or without space (generally the latter) of the relevant dictionaries, if there are any</w:t>
      </w:r>
    </w:p>
    <w:p>
      <w:pPr>
        <w:pStyle w:val="Lista3"/>
        <w:rPr>
          <w:rStyle w:val="Foreign"/>
          <w:i w:val="0"/>
        </w:rPr>
      </w:pPr>
      <w:r>
        <w:t xml:space="preserve">e.g. Old Javanese </w:t>
      </w:r>
      <w:r>
        <w:rPr>
          <w:rStyle w:val="Foreign"/>
        </w:rPr>
        <w:t>kimuta</w:t>
      </w:r>
      <w:r>
        <w:t xml:space="preserve">, Old Cam </w:t>
      </w:r>
      <w:r>
        <w:rPr>
          <w:rStyle w:val="Foreign"/>
        </w:rPr>
        <w:t>kintu</w:t>
      </w:r>
    </w:p>
    <w:p>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pPr>
        <w:pStyle w:val="Lista2"/>
      </w:pPr>
      <w:r>
        <w:rPr>
          <w:rStyle w:val="Foreign"/>
        </w:rPr>
        <w:t>lamvoṣṭha dedamita mahādeva guṇṭhaka ity evam-ādibhyo</w:t>
      </w:r>
    </w:p>
    <w:p>
      <w:pPr>
        <w:pStyle w:val="Lista2"/>
        <w:rPr>
          <w:rStyle w:val="Foreign"/>
        </w:rPr>
      </w:pPr>
      <w:r>
        <w:rPr>
          <w:rStyle w:val="Foreign"/>
        </w:rPr>
        <w:t>samrāṬ vākātakānāṁ mahārāja śrī-pravarasenasya</w:t>
      </w:r>
    </w:p>
    <w:p>
      <w:pPr>
        <w:pStyle w:val="Cmsor3"/>
      </w:pPr>
      <w:bookmarkStart w:id="176" w:name="_Toc17811424"/>
      <w:bookmarkStart w:id="177" w:name="_Toc17811479"/>
      <w:bookmarkStart w:id="178" w:name="_Ref38379352"/>
      <w:bookmarkStart w:id="179" w:name="_Toc199757556"/>
      <w:bookmarkStart w:id="180" w:name="_Ref199926571"/>
      <w:bookmarkStart w:id="181" w:name="_Toc201845391"/>
      <w:r>
        <w:t>Editorial hyphenation</w:t>
      </w:r>
      <w:bookmarkEnd w:id="176"/>
      <w:bookmarkEnd w:id="177"/>
      <w:bookmarkEnd w:id="178"/>
      <w:bookmarkEnd w:id="179"/>
      <w:bookmarkEnd w:id="180"/>
      <w:bookmarkEnd w:id="181"/>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t>feel free to hyphenate only long or difficult compounds and leave others intact</w:t>
      </w:r>
    </w:p>
    <w:p>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Lista3"/>
      </w:pPr>
      <w:r>
        <w:t>in Sanskrit, keep in mind that secondary derivatives of compound nouns are not themselves compounds and should therefore not be hyphenated, e.g.</w:t>
      </w:r>
    </w:p>
    <w:p>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pPr>
        <w:pStyle w:val="Lista3"/>
      </w:pPr>
      <w:r>
        <w:lastRenderedPageBreak/>
        <w:t>in the case of Old Javanese, consider that reduplicated expressions are always compounds, whereas close-knit structures consisting of two different elements only become compounds if any morphological derivation takes place</w:t>
      </w:r>
    </w:p>
    <w:p>
      <w:pPr>
        <w:pStyle w:val="Lista2"/>
      </w:pPr>
      <w:r>
        <w:rPr>
          <w:b/>
          <w:bCs/>
        </w:rPr>
        <w:t>sandhi analysis</w:t>
      </w:r>
      <w:r>
        <w:t xml:space="preserve"> when hyphens are conventionally used for this purpose in your field, specifically:</w:t>
      </w:r>
    </w:p>
    <w:p>
      <w:pPr>
        <w:pStyle w:val="Lista3"/>
      </w:pPr>
      <w:r>
        <w:t>epenthesis in Tamil may be indicated by joining the added letter to the preceding word with a hyphen (see the examples below)</w:t>
      </w:r>
    </w:p>
    <w:p>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pPr>
        <w:pStyle w:val="Lista"/>
      </w:pPr>
      <w:r>
        <w:t>some examples of Tamil hyphenation:</w:t>
      </w:r>
    </w:p>
    <w:p>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some examples of Old Javanese hyphenation:</w:t>
      </w:r>
    </w:p>
    <w:p>
      <w:pPr>
        <w:pStyle w:val="Lista2"/>
        <w:rPr>
          <w:rStyle w:val="Foreign"/>
        </w:rPr>
      </w:pPr>
      <w:r>
        <w:rPr>
          <w:rStyle w:val="Foreign"/>
        </w:rPr>
        <w:t>vulu-vulu</w:t>
      </w:r>
    </w:p>
    <w:p>
      <w:pPr>
        <w:pStyle w:val="Lista2"/>
      </w:pPr>
      <w:r>
        <w:rPr>
          <w:rStyle w:val="Foreign"/>
        </w:rPr>
        <w:t>tahi tikus</w:t>
      </w:r>
      <w:r>
        <w:t xml:space="preserve"> &gt; </w:t>
      </w:r>
      <w:r>
        <w:rPr>
          <w:rStyle w:val="Foreign"/>
        </w:rPr>
        <w:t>manahi-tikusa</w:t>
      </w:r>
    </w:p>
    <w:p>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pPr>
        <w:pStyle w:val="Lista"/>
      </w:pPr>
      <w:r>
        <w:rPr>
          <w:b/>
          <w:bCs/>
        </w:rPr>
        <w:t>do not use hyphens</w:t>
      </w:r>
      <w:r>
        <w:t xml:space="preserve"> for any other purpose, e.g. to show that a word has been broken into two parts by the end of an inscribed line </w:t>
      </w:r>
    </w:p>
    <w:p>
      <w:pPr>
        <w:pStyle w:val="Lista2"/>
      </w:pPr>
      <w:r>
        <w:t>this should be noted in markup (see EGD §3.2.4)</w:t>
      </w:r>
    </w:p>
    <w:p>
      <w:pPr>
        <w:pStyle w:val="Lista2"/>
      </w:pPr>
      <w:r>
        <w:t>if you are not adding any markup, please use the character ¬ (</w:t>
      </w:r>
      <w:r>
        <w:rPr>
          <w:rStyle w:val="Code"/>
        </w:rPr>
        <w:t>U+00AC</w:t>
      </w:r>
      <w:r>
        <w:t xml:space="preserve"> Not Sign; do not use a hyphen), which will be auto-converted into the proper markup</w:t>
      </w:r>
    </w:p>
    <w:p>
      <w:pPr>
        <w:pStyle w:val="Lista"/>
      </w:pPr>
      <w:r>
        <w:t>if you use hyphens for editorial compound analysis, and</w:t>
      </w:r>
    </w:p>
    <w:p>
      <w:pPr>
        <w:pStyle w:val="Lista2"/>
      </w:pPr>
      <w:r>
        <w:rPr>
          <w:b/>
          <w:bCs/>
        </w:rPr>
        <w:t>a physical line break</w:t>
      </w:r>
      <w:r>
        <w:t xml:space="preserve"> coincides with such a hyphen, then</w:t>
      </w:r>
    </w:p>
    <w:p>
      <w:pPr>
        <w:pStyle w:val="Lista3"/>
      </w:pPr>
      <w:r>
        <w:t>first encode the physical line break as one inside a word (as per EGD §3.2.4 or with the shorthand ¬)</w:t>
      </w:r>
    </w:p>
    <w:p>
      <w:pPr>
        <w:pStyle w:val="Lista3"/>
      </w:pPr>
      <w:r>
        <w:t>then put the editorial hyphen at the beginning of the new line</w:t>
      </w:r>
    </w:p>
    <w:p>
      <w:pPr>
        <w:pStyle w:val="Lista2"/>
      </w:pPr>
      <w:r>
        <w:rPr>
          <w:b/>
          <w:bCs/>
        </w:rPr>
        <w:t>a verse line break</w:t>
      </w:r>
      <w:r>
        <w:t xml:space="preserve"> coincides with such a hyphen, then</w:t>
      </w:r>
    </w:p>
    <w:p>
      <w:pPr>
        <w:pStyle w:val="Lista3"/>
      </w:pPr>
      <w:r>
        <w:t>first encode the verse line break as one inside a word (as per EGD §2.3.6)</w:t>
      </w:r>
    </w:p>
    <w:p>
      <w:pPr>
        <w:pStyle w:val="Lista3"/>
      </w:pPr>
      <w:r>
        <w:t>then put the editorial hyphen at the beginning of the new line</w:t>
      </w:r>
    </w:p>
    <w:p>
      <w:pPr>
        <w:pStyle w:val="Cmsor3"/>
      </w:pPr>
      <w:bookmarkStart w:id="182" w:name="_Ref15566181"/>
      <w:bookmarkStart w:id="183" w:name="_Toc17811425"/>
      <w:bookmarkStart w:id="184" w:name="_Toc17811480"/>
      <w:bookmarkStart w:id="185" w:name="_Toc199757557"/>
      <w:bookmarkStart w:id="186" w:name="_Toc201845392"/>
      <w:r>
        <w:t>Truncation</w:t>
      </w:r>
      <w:bookmarkEnd w:id="186"/>
    </w:p>
    <w:p>
      <w:pPr>
        <w:pStyle w:val="Lista"/>
      </w:pPr>
      <w:r>
        <w:t>@the ° needs to be mentioned here</w:t>
      </w:r>
    </w:p>
    <w:p>
      <w:pPr>
        <w:pStyle w:val="Cmsor3"/>
      </w:pPr>
      <w:bookmarkStart w:id="187" w:name="_Ref15564956"/>
      <w:bookmarkStart w:id="188" w:name="_Ref15565291"/>
      <w:bookmarkStart w:id="189" w:name="_Toc17811426"/>
      <w:bookmarkStart w:id="190" w:name="_Toc17811481"/>
      <w:bookmarkStart w:id="191" w:name="_Toc199757558"/>
      <w:bookmarkStart w:id="192" w:name="_Toc201845394"/>
      <w:bookmarkEnd w:id="182"/>
      <w:bookmarkEnd w:id="183"/>
      <w:bookmarkEnd w:id="184"/>
      <w:bookmarkEnd w:id="185"/>
      <w:r>
        <w:t xml:space="preserve">Representation of elided </w:t>
      </w:r>
      <w:proofErr w:type="spellStart"/>
      <w:r>
        <w:t>overshort</w:t>
      </w:r>
      <w:proofErr w:type="spellEnd"/>
      <w:r>
        <w:t xml:space="preserve"> final </w:t>
      </w:r>
      <w:r>
        <w:rPr>
          <w:rStyle w:val="Foreign"/>
        </w:rPr>
        <w:t>u</w:t>
      </w:r>
      <w:r>
        <w:t xml:space="preserve"> in Tamil</w:t>
      </w:r>
      <w:bookmarkEnd w:id="187"/>
      <w:bookmarkEnd w:id="188"/>
      <w:bookmarkEnd w:id="189"/>
      <w:bookmarkEnd w:id="190"/>
      <w:bookmarkEnd w:id="191"/>
      <w:bookmarkEnd w:id="192"/>
    </w:p>
    <w:p>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pPr>
        <w:pStyle w:val="Lista2"/>
      </w:pPr>
      <w:r>
        <w:rPr>
          <w:rStyle w:val="Foreign"/>
        </w:rPr>
        <w:t xml:space="preserve">koṇṭ-āṭu </w:t>
      </w:r>
      <w:r>
        <w:t xml:space="preserve">(for </w:t>
      </w:r>
      <w:r>
        <w:rPr>
          <w:rStyle w:val="Foreign"/>
        </w:rPr>
        <w:t>koṇṭāṭu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pPr>
        <w:pStyle w:val="Lista2"/>
      </w:pPr>
      <w:r>
        <w:lastRenderedPageBreak/>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p>
      <w:pPr>
        <w:pStyle w:val="Cmsor2"/>
      </w:pPr>
      <w:r>
        <w:t>@INTERPRETIVE ALTERATIONS</w:t>
      </w:r>
    </w:p>
    <w:p>
      <w:pPr>
        <w:pStyle w:val="Cmsor3"/>
      </w:pPr>
      <w:bookmarkStart w:id="193" w:name="_Toc201845395"/>
      <w:r>
        <w:t>Silent identification of homographs</w:t>
      </w:r>
      <w:bookmarkEnd w:id="193"/>
    </w:p>
    <w:p>
      <w:pPr>
        <w:rPr>
          <w:lang w:eastAsia="en-US" w:bidi="ar-SA"/>
        </w:rPr>
      </w:pPr>
      <w:proofErr w:type="spellStart"/>
      <w:r>
        <w:rPr>
          <w:lang w:eastAsia="en-US" w:bidi="ar-SA"/>
        </w:rPr>
        <w:t>dsdfdf</w:t>
      </w:r>
      <w:proofErr w:type="spellEnd"/>
    </w:p>
    <w:p>
      <w:pPr>
        <w:rPr>
          <w:lang w:eastAsia="en-US" w:bidi="ar-SA"/>
        </w:rPr>
      </w:pPr>
      <w:r>
        <w:rPr>
          <w:lang w:eastAsia="en-US" w:bidi="ar-SA"/>
        </w:rPr>
        <w:t>choice of using markup for ambiguity when warranted</w:t>
      </w:r>
    </w:p>
    <w:p>
      <w:pPr>
        <w:pStyle w:val="Cmsor3"/>
      </w:pPr>
      <w:bookmarkStart w:id="194" w:name="_Ref199856909"/>
      <w:bookmarkStart w:id="195" w:name="_Toc201845396"/>
      <w:r>
        <w:t xml:space="preserve">Distinction of long and short </w:t>
      </w:r>
      <w:r>
        <w:rPr>
          <w:rFonts w:eastAsia="Gentium"/>
        </w:rPr>
        <w:t>e and o</w:t>
      </w:r>
      <w:bookmarkEnd w:id="194"/>
      <w:bookmarkEnd w:id="195"/>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196" w:name="_Toc199757567"/>
      <w:bookmarkStart w:id="197" w:name="_Toc201845397"/>
      <w:r>
        <w:t>Short vowel written where a corresponding long vowel is expected</w:t>
      </w:r>
      <w:bookmarkEnd w:id="196"/>
      <w:bookmarkEnd w:id="197"/>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1"/>
      </w:pPr>
      <w:bookmarkStart w:id="198" w:name="_Toc17811427"/>
      <w:bookmarkStart w:id="199" w:name="_Toc17811482"/>
      <w:bookmarkEnd w:id="159"/>
      <w:bookmarkEnd w:id="160"/>
      <w:bookmarkEnd w:id="161"/>
      <w:bookmarkEnd w:id="162"/>
      <w:r>
        <w:lastRenderedPageBreak/>
        <w:t xml:space="preserve">Transliterating alphabetic </w:t>
      </w:r>
      <w:bookmarkEnd w:id="198"/>
      <w:bookmarkEnd w:id="199"/>
      <w:r>
        <w:t>graphemes</w:t>
      </w:r>
    </w:p>
    <w:p>
      <w:pPr>
        <w:pStyle w:val="Cmsor2"/>
      </w:pPr>
      <w:bookmarkStart w:id="200" w:name="_941zz4vcrjax" w:colFirst="0" w:colLast="0"/>
      <w:bookmarkEnd w:id="200"/>
      <w:r>
        <w:t>The basic inventory of Indic (Sanskrit) graphemes</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01" w:name="_Ref201058649"/>
            <w:r>
              <w:t xml:space="preserve">Figure </w:t>
            </w:r>
            <w:fldSimple w:instr=" STYLEREF 2 \s ">
              <w:r>
                <w:rPr>
                  <w:noProof/>
                </w:rPr>
                <w:t>4.1</w:t>
              </w:r>
            </w:fldSimple>
            <w:r>
              <w:t>.</w:t>
            </w:r>
            <w:fldSimple w:instr=" SEQ Figure \* ALPHABETIC \s 2 ">
              <w:r>
                <w:rPr>
                  <w:noProof/>
                </w:rPr>
                <w:t>A</w:t>
              </w:r>
            </w:fldSimple>
            <w:bookmarkEnd w:id="20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02" w:name="_Ref199856693"/>
      <w:bookmarkStart w:id="203" w:name="_Toc201845398"/>
      <w:r>
        <w:rPr>
          <w:rStyle w:val="Foreign"/>
          <w:i w:val="0"/>
          <w:iCs w:val="0"/>
          <w:noProof w:val="0"/>
        </w:rPr>
        <w:t>Digraphs in the transliteration</w:t>
      </w:r>
      <w:bookmarkEnd w:id="203"/>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pPr>
        <w:pStyle w:val="Cmsor3"/>
      </w:pPr>
      <w:bookmarkStart w:id="204" w:name="_Toc201845399"/>
      <w:r>
        <w:t xml:space="preserve">Vocalic </w:t>
      </w:r>
      <w:r>
        <w:rPr>
          <w:rStyle w:val="Foreign"/>
        </w:rPr>
        <w:t>r</w:t>
      </w:r>
      <w:r>
        <w:t xml:space="preserve"> and </w:t>
      </w:r>
      <w:r>
        <w:rPr>
          <w:rStyle w:val="Foreign"/>
        </w:rPr>
        <w:t>l</w:t>
      </w:r>
      <w:bookmarkEnd w:id="202"/>
      <w:bookmarkEnd w:id="204"/>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05" w:name="_Ref17290022"/>
      <w:bookmarkStart w:id="206" w:name="_Toc17811429"/>
      <w:bookmarkStart w:id="207" w:name="_Toc17811484"/>
      <w:bookmarkStart w:id="208" w:name="_Toc201845400"/>
      <w:r>
        <w:t xml:space="preserve">Transliteration of </w:t>
      </w:r>
      <w:r>
        <w:rPr>
          <w:rStyle w:val="Foreign"/>
        </w:rPr>
        <w:t>e</w:t>
      </w:r>
      <w:r>
        <w:rPr>
          <w:rFonts w:eastAsia="Gentium"/>
        </w:rPr>
        <w:t xml:space="preserve"> and </w:t>
      </w:r>
      <w:r>
        <w:rPr>
          <w:rStyle w:val="Foreign"/>
        </w:rPr>
        <w:t>o</w:t>
      </w:r>
      <w:bookmarkEnd w:id="205"/>
      <w:bookmarkEnd w:id="206"/>
      <w:bookmarkEnd w:id="207"/>
      <w:bookmarkEnd w:id="208"/>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09" w:name="_Ref201054401"/>
      <w:bookmarkStart w:id="210" w:name="_Toc201845401"/>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09"/>
      <w:bookmarkEnd w:id="210"/>
    </w:p>
    <w:p>
      <w:pPr>
        <w:pStyle w:val="Lista"/>
      </w:pPr>
      <w:r>
        <w:t xml:space="preserve">@pending decision on </w:t>
      </w:r>
      <w:proofErr w:type="spellStart"/>
      <w:r>
        <w:t>github</w:t>
      </w:r>
      <w:proofErr w:type="spellEnd"/>
      <w:r>
        <w:t xml:space="preserve">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11" w:name="_Ref15558357"/>
      <w:bookmarkStart w:id="212" w:name="_Toc17811431"/>
      <w:bookmarkStart w:id="213" w:name="_Toc17811486"/>
      <w:bookmarkStart w:id="214" w:name="_Toc199757562"/>
      <w:bookmarkStart w:id="215" w:name="_Toc201845402"/>
      <w:r>
        <w:rPr>
          <w:rStyle w:val="Foreign"/>
        </w:rPr>
        <w:t>Anusvāra</w:t>
      </w:r>
      <w:r>
        <w:t xml:space="preserve"> and its relatives</w:t>
      </w:r>
      <w:bookmarkEnd w:id="215"/>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16" w:name="_Ref201062139"/>
            <w:r>
              <w:t xml:space="preserve">Figure </w:t>
            </w:r>
            <w:fldSimple w:instr=" STYLEREF 2 \s ">
              <w:r>
                <w:rPr>
                  <w:noProof/>
                </w:rPr>
                <w:t>4.1</w:t>
              </w:r>
            </w:fldSimple>
            <w:r>
              <w:t>.</w:t>
            </w:r>
            <w:fldSimple w:instr=" SEQ Figure \* ALPHABETIC \s 2 ">
              <w:r>
                <w:rPr>
                  <w:noProof/>
                </w:rPr>
                <w:t>B</w:t>
              </w:r>
            </w:fldSimple>
            <w:bookmarkEnd w:id="216"/>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c>
          <w:tcPr>
            <w:tcW w:w="1925" w:type="dxa"/>
          </w:tcPr>
          <w:p>
            <w:pPr>
              <w:keepNext/>
              <w:jc w:val="center"/>
            </w:pPr>
          </w:p>
        </w:tc>
        <w:tc>
          <w:tcPr>
            <w:tcW w:w="1925" w:type="dxa"/>
          </w:tcPr>
          <w:p>
            <w:pPr>
              <w:keepNext/>
              <w:jc w:val="center"/>
            </w:pPr>
            <w:r>
              <w:t>§</w:t>
            </w:r>
            <w:r>
              <w:fldChar w:fldCharType="begin"/>
            </w:r>
            <w:r>
              <w:instrText xml:space="preserve"> REF _Ref201220163 \r \h </w:instrText>
            </w:r>
            <w:r>
              <w:fldChar w:fldCharType="separate"/>
            </w:r>
            <w:r>
              <w:t>4.1.4.1</w:t>
            </w:r>
            <w:r>
              <w:fldChar w:fldCharType="end"/>
            </w:r>
          </w:p>
        </w:tc>
        <w:tc>
          <w:tcPr>
            <w:tcW w:w="1926" w:type="dxa"/>
          </w:tcPr>
          <w:p>
            <w:pPr>
              <w:keepNext/>
              <w:jc w:val="center"/>
            </w:pPr>
            <w:r>
              <w:t>@</w:t>
            </w:r>
          </w:p>
        </w:tc>
        <w:tc>
          <w:tcPr>
            <w:tcW w:w="1926" w:type="dxa"/>
          </w:tcPr>
          <w:p>
            <w:pPr>
              <w:keepNext/>
              <w:jc w:val="center"/>
            </w:pPr>
            <w:r>
              <w:t>@</w:t>
            </w:r>
          </w:p>
        </w:tc>
        <w:tc>
          <w:tcPr>
            <w:tcW w:w="1926" w:type="dxa"/>
          </w:tcPr>
          <w:p>
            <w:pPr>
              <w:keepNext/>
              <w:jc w:val="center"/>
            </w:pPr>
            <w:r>
              <w:t>@</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17" w:name="_Ref201060162"/>
      <w:bookmarkStart w:id="218" w:name="_Ref201220163"/>
      <w:bookmarkStart w:id="219" w:name="_Toc201845403"/>
      <w:r>
        <w:rPr>
          <w:rStyle w:val="Foreign"/>
        </w:rPr>
        <w:t>Anunāsika</w:t>
      </w:r>
      <w:r>
        <w:t xml:space="preserve"> or </w:t>
      </w:r>
      <w:r>
        <w:rPr>
          <w:rStyle w:val="Foreign"/>
        </w:rPr>
        <w:t>candrabindu</w:t>
      </w:r>
      <w:bookmarkEnd w:id="217"/>
      <w:bookmarkEnd w:id="218"/>
      <w:bookmarkEnd w:id="219"/>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lastRenderedPageBreak/>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20" w:name="_Ref40103880"/>
      <w:bookmarkStart w:id="221" w:name="_Toc199757569"/>
      <w:bookmarkStart w:id="222" w:name="_Toc201845404"/>
      <w:r>
        <w:t xml:space="preserve">Other </w:t>
      </w:r>
      <w:r>
        <w:rPr>
          <w:rStyle w:val="Foreign"/>
        </w:rPr>
        <w:t>anusvāra</w:t>
      </w:r>
      <w:bookmarkEnd w:id="220"/>
      <w:bookmarkEnd w:id="221"/>
      <w:r>
        <w:t xml:space="preserve"> variants</w:t>
      </w:r>
      <w:bookmarkEnd w:id="222"/>
    </w:p>
    <w:p>
      <w:pPr>
        <w:rPr>
          <w:rStyle w:val="Foreign"/>
          <w:i w:val="0"/>
          <w:iCs w:val="0"/>
          <w:noProof w:val="0"/>
        </w:rPr>
      </w:pPr>
      <w:r>
        <w:rPr>
          <w:rStyle w:val="Foreign"/>
          <w:i w:val="0"/>
          <w:iCs w:val="0"/>
          <w:noProof w:val="0"/>
        </w:rPr>
        <w:t xml:space="preserve">@pending </w:t>
      </w:r>
      <w:hyperlink r:id="rId21"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23" w:name="_Hlk201070903"/>
      <w:r>
        <w:rPr>
          <w:rStyle w:val="Label"/>
        </w:rPr>
        <w:t>not covered by ISO-15919</w:t>
      </w:r>
    </w:p>
    <w:bookmarkEnd w:id="223"/>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2" w:history="1">
        <w:r>
          <w:rPr>
            <w:rStyle w:val="Hiperhivatkozs"/>
          </w:rPr>
          <w:t>https://unicode.org/L2/L2010/10392r2-chandrabindus.pdf</w:t>
        </w:r>
      </w:hyperlink>
      <w:r>
        <w:t xml:space="preserve"> )</w:t>
      </w:r>
    </w:p>
    <w:p>
      <w:pPr>
        <w:pStyle w:val="Cmsor3"/>
      </w:pPr>
      <w:bookmarkStart w:id="224" w:name="_Ref201582281"/>
      <w:bookmarkStart w:id="225" w:name="_Toc201845405"/>
      <w:r>
        <w:rPr>
          <w:rStyle w:val="Foreign"/>
        </w:rPr>
        <w:t>Visarga</w:t>
      </w:r>
      <w:r>
        <w:t xml:space="preserve"> and its relatives</w:t>
      </w:r>
      <w:bookmarkEnd w:id="224"/>
      <w:bookmarkEnd w:id="225"/>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6" w:name="_Ref201066762"/>
            <w:r>
              <w:t xml:space="preserve">Figure </w:t>
            </w:r>
            <w:fldSimple w:instr=" STYLEREF 2 \s ">
              <w:r>
                <w:rPr>
                  <w:noProof/>
                </w:rPr>
                <w:t>4.1</w:t>
              </w:r>
            </w:fldSimple>
            <w:r>
              <w:t>.</w:t>
            </w:r>
            <w:fldSimple w:instr=" SEQ Figure \* ALPHABETIC \s 2 ">
              <w:r>
                <w:rPr>
                  <w:noProof/>
                </w:rPr>
                <w:t>C</w:t>
              </w:r>
            </w:fldSimple>
            <w:bookmarkEnd w:id="226"/>
            <w:r>
              <w:t>. Visarga relatives</w:t>
            </w:r>
          </w:p>
        </w:tc>
      </w:tr>
      <w:tr>
        <w:tc>
          <w:tcPr>
            <w:tcW w:w="1901" w:type="dxa"/>
          </w:tcPr>
          <w:p>
            <w:pPr>
              <w:keepNext/>
              <w:jc w:val="center"/>
            </w:pPr>
            <w:bookmarkStart w:id="227" w:name="_w9lp3wb1umde" w:colFirst="0" w:colLast="0"/>
            <w:bookmarkStart w:id="228" w:name="_h0qofzr3l3f2" w:colFirst="0" w:colLast="0"/>
            <w:bookmarkEnd w:id="227"/>
            <w:bookmarkEnd w:id="228"/>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29" w:name="_Ref201243572"/>
      <w:bookmarkStart w:id="230"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w:t>
      </w:r>
      <w:r>
        <w:lastRenderedPageBreak/>
        <w:t xml:space="preserve">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pPr>
        <w:pStyle w:val="Cmsor2"/>
      </w:pPr>
      <w:r>
        <w:t>Graphemes extending the basic repertoire</w:t>
      </w:r>
      <w:bookmarkEnd w:id="229"/>
      <w:bookmarkEnd w:id="230"/>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31" w:name="_Ref201052587"/>
      <w:bookmarkStart w:id="232" w:name="_Toc201845406"/>
      <w:r>
        <w:t>Graphemes of other Indian writing systems</w:t>
      </w:r>
      <w:bookmarkEnd w:id="231"/>
      <w:bookmarkEnd w:id="232"/>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33" w:name="_Toc199757561"/>
      <w:bookmarkStart w:id="234"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35" w:name="_Toc201845407"/>
      <w:r>
        <w:t xml:space="preserve">Graphemes of Southeast Asian </w:t>
      </w:r>
      <w:bookmarkEnd w:id="233"/>
      <w:bookmarkEnd w:id="234"/>
      <w:r>
        <w:t>writing systems</w:t>
      </w:r>
      <w:bookmarkEnd w:id="235"/>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9"/>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36" w:name="_Ref201310107"/>
      <w:bookmarkStart w:id="237" w:name="_Toc17811436"/>
      <w:bookmarkStart w:id="238" w:name="_Toc17811491"/>
      <w:bookmarkStart w:id="239" w:name="_Ref15558460"/>
      <w:bookmarkStart w:id="240" w:name="_Ref201134430"/>
      <w:bookmarkStart w:id="241" w:name="_Ref17800758"/>
      <w:bookmarkStart w:id="242" w:name="_Toc17811432"/>
      <w:bookmarkStart w:id="243" w:name="_Toc17811487"/>
      <w:bookmarkStart w:id="244" w:name="_Toc199757563"/>
      <w:bookmarkStart w:id="245" w:name="_Toc201845408"/>
      <w:bookmarkEnd w:id="211"/>
      <w:bookmarkEnd w:id="212"/>
      <w:bookmarkEnd w:id="213"/>
      <w:bookmarkEnd w:id="214"/>
      <w:r>
        <w:t>Graphemic combination of the vowel markers |u| and |</w:t>
      </w:r>
      <w:proofErr w:type="spellStart"/>
      <w:r>
        <w:t>i</w:t>
      </w:r>
      <w:proofErr w:type="spellEnd"/>
      <w:r>
        <w:t>|</w:t>
      </w:r>
      <w:bookmarkEnd w:id="236"/>
      <w:bookmarkEnd w:id="24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46" w:name="_Ref201309456"/>
            <w:r>
              <w:t xml:space="preserve">Figure </w:t>
            </w:r>
            <w:fldSimple w:instr=" STYLEREF 2 \s ">
              <w:r>
                <w:rPr>
                  <w:noProof/>
                </w:rPr>
                <w:t>4.2</w:t>
              </w:r>
            </w:fldSimple>
            <w:r>
              <w:t>.</w:t>
            </w:r>
            <w:fldSimple w:instr=" SEQ Figure \* ALPHABETIC \s 2 ">
              <w:r>
                <w:rPr>
                  <w:noProof/>
                </w:rPr>
                <w:t>A</w:t>
              </w:r>
            </w:fldSimple>
            <w:bookmarkEnd w:id="246"/>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47"/>
            <w:r>
              <w:rPr>
                <w:rStyle w:val="Foreign"/>
              </w:rPr>
              <w:t>gui</w:t>
            </w:r>
            <w:commentRangeEnd w:id="247"/>
            <w:r>
              <w:rPr>
                <w:rStyle w:val="Jegyzethivatkozs"/>
                <w:rFonts w:cs="Murty Sanskrit"/>
              </w:rPr>
              <w:commentReference w:id="247"/>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6.3.4</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bookmarkEnd w:id="237"/>
    <w:bookmarkEnd w:id="238"/>
    <w:bookmarkEnd w:id="239"/>
    <w:p>
      <w:pPr>
        <w:pStyle w:val="Cmsor2"/>
      </w:pPr>
      <w:r>
        <w:t>Vowelless consonants</w:t>
      </w:r>
      <w:bookmarkEnd w:id="240"/>
    </w:p>
    <w:p>
      <w:pPr>
        <w:rPr>
          <w:lang w:eastAsia="en-US" w:bidi="ar-SA"/>
        </w:rPr>
      </w:pPr>
      <w:bookmarkStart w:id="248" w:name="_Toc199757560"/>
      <w:bookmarkStart w:id="249" w:name="_Ref17810731"/>
      <w:bookmarkStart w:id="250" w:name="_Toc17811434"/>
      <w:bookmarkStart w:id="251" w:name="_Toc17811489"/>
      <w:bookmarkStart w:id="252" w:name="_Ref22203423"/>
      <w:bookmarkStart w:id="253" w:name="_Ref22208509"/>
      <w:bookmarkStart w:id="254" w:name="_Toc199757565"/>
      <w:bookmarkStart w:id="25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56" w:name="_Ref201135481"/>
      <w:bookmarkStart w:id="257" w:name="_Ref201135974"/>
      <w:bookmarkStart w:id="258" w:name="_Ref201160114"/>
      <w:bookmarkStart w:id="259" w:name="_Toc201845409"/>
      <w:r>
        <w:t>Distinguishing final forms from characters with a vowel killer</w:t>
      </w:r>
      <w:bookmarkEnd w:id="256"/>
      <w:bookmarkEnd w:id="257"/>
      <w:bookmarkEnd w:id="258"/>
      <w:bookmarkEnd w:id="259"/>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lastRenderedPageBreak/>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60" w:name="_Ref201133902"/>
      <w:bookmarkStart w:id="261" w:name="_Toc201845410"/>
      <w:r>
        <w:t>Final consonants as simplex characters</w:t>
      </w:r>
      <w:bookmarkEnd w:id="260"/>
      <w:bookmarkEnd w:id="261"/>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62" w:name="_Ref201133441"/>
            <w:r>
              <w:t xml:space="preserve">Figure </w:t>
            </w:r>
            <w:fldSimple w:instr=" STYLEREF 2 \s ">
              <w:r>
                <w:rPr>
                  <w:noProof/>
                </w:rPr>
                <w:t>4.3</w:t>
              </w:r>
            </w:fldSimple>
            <w:r>
              <w:t>.</w:t>
            </w:r>
            <w:fldSimple w:instr=" SEQ Figure \* ALPHABETIC \s 2 ">
              <w:r>
                <w:rPr>
                  <w:noProof/>
                </w:rPr>
                <w:t>A</w:t>
              </w:r>
            </w:fldSimple>
            <w:bookmarkEnd w:id="262"/>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63" w:name="_Ref201133679"/>
      <w:bookmarkStart w:id="264" w:name="_Toc201845411"/>
      <w:bookmarkEnd w:id="248"/>
      <w:bookmarkEnd w:id="249"/>
      <w:bookmarkEnd w:id="250"/>
      <w:bookmarkEnd w:id="251"/>
      <w:bookmarkEnd w:id="252"/>
      <w:bookmarkEnd w:id="253"/>
      <w:bookmarkEnd w:id="254"/>
      <w:r>
        <w:t xml:space="preserve">Independent consonants </w:t>
      </w:r>
      <w:bookmarkEnd w:id="241"/>
      <w:bookmarkEnd w:id="242"/>
      <w:bookmarkEnd w:id="243"/>
      <w:bookmarkEnd w:id="244"/>
      <w:bookmarkEnd w:id="255"/>
      <w:r>
        <w:t>as complex characters involving a vowel killer</w:t>
      </w:r>
      <w:bookmarkEnd w:id="263"/>
      <w:bookmarkEnd w:id="264"/>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65" w:name="_Ref201135281"/>
      <w:bookmarkStart w:id="266" w:name="_Ref201136540"/>
      <w:bookmarkStart w:id="267" w:name="_Toc201845412"/>
      <w:r>
        <w:t xml:space="preserve">Regular consonant signs for vowelless consonants: the “implicit </w:t>
      </w:r>
      <w:r>
        <w:rPr>
          <w:rStyle w:val="Foreign"/>
        </w:rPr>
        <w:t>puḷḷi</w:t>
      </w:r>
      <w:r>
        <w:t>”</w:t>
      </w:r>
      <w:bookmarkEnd w:id="265"/>
      <w:bookmarkEnd w:id="266"/>
      <w:bookmarkEnd w:id="267"/>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t>
      </w:r>
      <w:r>
        <w:lastRenderedPageBreak/>
        <w:t xml:space="preserve">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68" w:name="_Ref201572483"/>
            <w:r>
              <w:t xml:space="preserve">Figure </w:t>
            </w:r>
            <w:fldSimple w:instr=" STYLEREF 2 \s ">
              <w:r>
                <w:rPr>
                  <w:noProof/>
                </w:rPr>
                <w:t>4.3</w:t>
              </w:r>
            </w:fldSimple>
            <w:r>
              <w:t>.</w:t>
            </w:r>
            <w:fldSimple w:instr=" SEQ Figure \* ALPHABETIC \s 2 ">
              <w:r>
                <w:rPr>
                  <w:noProof/>
                </w:rPr>
                <w:t>B</w:t>
              </w:r>
            </w:fldSimple>
            <w:bookmarkEnd w:id="268"/>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69" w:name="_Hlk201584061"/>
            <w:r>
              <w:rPr>
                <w:rStyle w:val="ForeignTamilScript"/>
                <w:rFonts w:hint="cs"/>
                <w:sz w:val="48"/>
                <w:szCs w:val="48"/>
                <w:cs/>
                <w:lang w:bidi="ta-IN"/>
              </w:rPr>
              <w:t>கக</w:t>
            </w:r>
            <w:bookmarkEnd w:id="269"/>
          </w:p>
        </w:tc>
        <w:tc>
          <w:tcPr>
            <w:tcW w:w="2431" w:type="dxa"/>
            <w:vAlign w:val="center"/>
          </w:tcPr>
          <w:p>
            <w:pPr>
              <w:pStyle w:val="Image"/>
              <w:rPr>
                <w:rStyle w:val="ForeignTamilScript"/>
                <w:sz w:val="48"/>
                <w:szCs w:val="48"/>
              </w:rPr>
            </w:pPr>
            <w:bookmarkStart w:id="270" w:name="_Hlk201584031"/>
            <w:r>
              <w:rPr>
                <w:rStyle w:val="ForeignTamilScript"/>
                <w:rFonts w:hint="cs"/>
                <w:sz w:val="48"/>
                <w:szCs w:val="48"/>
                <w:cs/>
                <w:lang w:bidi="ta-IN"/>
              </w:rPr>
              <w:t>ந்ந</w:t>
            </w:r>
            <w:bookmarkEnd w:id="270"/>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71" w:name="_Ref201138628"/>
      <w:bookmarkStart w:id="272" w:name="_Ref201221319"/>
      <w:bookmarkStart w:id="273" w:name="_Toc201845413"/>
      <w:r>
        <w:t>Independent vowels as simplex characters</w:t>
      </w:r>
      <w:bookmarkEnd w:id="271"/>
      <w:bookmarkEnd w:id="272"/>
      <w:bookmarkEnd w:id="273"/>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74" w:name="_Ref201245507"/>
      <w:bookmarkStart w:id="275" w:name="_Toc201845414"/>
      <w:r>
        <w:t xml:space="preserve">Independent vowels involving a </w:t>
      </w:r>
      <w:commentRangeStart w:id="276"/>
      <w:r>
        <w:t>vowel support</w:t>
      </w:r>
      <w:commentRangeEnd w:id="276"/>
      <w:r>
        <w:rPr>
          <w:rStyle w:val="Jegyzethivatkozs"/>
          <w:rFonts w:ascii="Gentium" w:eastAsiaTheme="minorEastAsia" w:hAnsi="Gentium" w:cs="Murty Sanskrit"/>
          <w:kern w:val="2"/>
          <w:lang w:eastAsia="zh-TW" w:bidi="hi-IN"/>
          <w14:ligatures w14:val="standardContextual"/>
        </w:rPr>
        <w:commentReference w:id="276"/>
      </w:r>
      <w:bookmarkEnd w:id="274"/>
      <w:bookmarkEnd w:id="275"/>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w:t>
      </w:r>
      <w:r>
        <w:lastRenderedPageBreak/>
        <w:t>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77" w:name="_Ref201229585"/>
            <w:r>
              <w:t xml:space="preserve">Figure </w:t>
            </w:r>
            <w:fldSimple w:instr=" STYLEREF 2 \s ">
              <w:r>
                <w:rPr>
                  <w:noProof/>
                </w:rPr>
                <w:t>4.4</w:t>
              </w:r>
            </w:fldSimple>
            <w:r>
              <w:t>.</w:t>
            </w:r>
            <w:fldSimple w:instr=" SEQ Figure \* ALPHABETIC \s 2 ">
              <w:r>
                <w:rPr>
                  <w:noProof/>
                </w:rPr>
                <w:t>A</w:t>
              </w:r>
            </w:fldSimple>
            <w:bookmarkEnd w:id="277"/>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5"/>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lastRenderedPageBreak/>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78" w:name="_Ref201229654"/>
            <w:r>
              <w:t xml:space="preserve">Figure </w:t>
            </w:r>
            <w:fldSimple w:instr=" STYLEREF 2 \s ">
              <w:r>
                <w:rPr>
                  <w:noProof/>
                </w:rPr>
                <w:t>4.4</w:t>
              </w:r>
            </w:fldSimple>
            <w:r>
              <w:t>.</w:t>
            </w:r>
            <w:fldSimple w:instr=" SEQ Figure \* ALPHABETIC \s 2 ">
              <w:r>
                <w:rPr>
                  <w:noProof/>
                </w:rPr>
                <w:t>B</w:t>
              </w:r>
            </w:fldSimple>
            <w:bookmarkEnd w:id="278"/>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5"/>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1"/>
      </w:pPr>
      <w:bookmarkStart w:id="279" w:name="_77xvqqxwsyaq" w:colFirst="0" w:colLast="0"/>
      <w:bookmarkStart w:id="280" w:name="_Ref201330924"/>
      <w:bookmarkStart w:id="281" w:name="_Ref201310646"/>
      <w:bookmarkStart w:id="282" w:name="_Toc17811441"/>
      <w:bookmarkStart w:id="283" w:name="_Toc17811496"/>
      <w:bookmarkEnd w:id="279"/>
      <w:r>
        <w:lastRenderedPageBreak/>
        <w:t>Systemic innovations in the Indic writing system</w:t>
      </w:r>
      <w:bookmarkEnd w:id="280"/>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2"/>
      </w:pPr>
      <w:bookmarkStart w:id="284" w:name="_Ref201331999"/>
      <w:r>
        <w:t>Borderline diacritical marks</w:t>
      </w:r>
      <w:bookmarkEnd w:id="284"/>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3"/>
      </w:pPr>
      <w:bookmarkStart w:id="285" w:name="_Ref201587086"/>
      <w:bookmarkStart w:id="286" w:name="_Toc201845415"/>
      <w:r>
        <w:t>The |ā| graph as a signifier of length in maritime Southeast Asia</w:t>
      </w:r>
      <w:bookmarkEnd w:id="285"/>
      <w:bookmarkEnd w:id="286"/>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287" w:name="_Ref201245033"/>
            <w:r>
              <w:lastRenderedPageBreak/>
              <w:t xml:space="preserve">Figure </w:t>
            </w:r>
            <w:fldSimple w:instr=" STYLEREF 2 \s ">
              <w:r>
                <w:rPr>
                  <w:noProof/>
                </w:rPr>
                <w:t>5.1</w:t>
              </w:r>
            </w:fldSimple>
            <w:r>
              <w:t>.</w:t>
            </w:r>
            <w:fldSimple w:instr=" SEQ Figure \* ALPHABETIC \s 2 ">
              <w:r>
                <w:rPr>
                  <w:noProof/>
                </w:rPr>
                <w:t>A</w:t>
              </w:r>
            </w:fldSimple>
            <w:bookmarkEnd w:id="287"/>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6"/>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88"/>
      <w:r>
        <w:rPr>
          <w:noProof/>
          <w:lang w:val="en-US"/>
        </w:rPr>
        <w:t xml:space="preserve">pronounce </w:t>
      </w:r>
      <w:commentRangeEnd w:id="288"/>
      <w:r>
        <w:rPr>
          <w:rStyle w:val="Jegyzethivatkozs"/>
          <w:rFonts w:cs="Murty Sanskrit"/>
        </w:rPr>
        <w:commentReference w:id="288"/>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3"/>
      </w:pPr>
      <w:bookmarkStart w:id="289" w:name="_Toc201845416"/>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289"/>
    </w:p>
    <w:p>
      <w:r>
        <w:t xml:space="preserve">@to be written up once </w:t>
      </w:r>
      <w:hyperlink r:id="rId39"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2"/>
      </w:pPr>
      <w:bookmarkStart w:id="290" w:name="_Ref201564845"/>
      <w:r>
        <w:t>Repurposed graphic signs</w:t>
      </w:r>
      <w:bookmarkEnd w:id="290"/>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numeric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numeral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291" w:name="_Ref201563753"/>
            <w:r>
              <w:t xml:space="preserve">Figure </w:t>
            </w:r>
            <w:fldSimple w:instr=" STYLEREF 2 \s ">
              <w:r>
                <w:rPr>
                  <w:noProof/>
                </w:rPr>
                <w:t>5.2</w:t>
              </w:r>
            </w:fldSimple>
            <w:r>
              <w:t>.</w:t>
            </w:r>
            <w:fldSimple w:instr=" SEQ Figure \* ALPHABETIC \s 2 ">
              <w:r>
                <w:rPr>
                  <w:noProof/>
                </w:rPr>
                <w:t>A</w:t>
              </w:r>
            </w:fldSimple>
            <w:bookmarkEnd w:id="291"/>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292" w:name="_y9z6zgvtcr89" w:colFirst="0" w:colLast="0"/>
      <w:bookmarkStart w:id="293" w:name="_gd5taio96c5" w:colFirst="0" w:colLast="0"/>
      <w:bookmarkStart w:id="294" w:name="_ehbz2lfh7tyw" w:colFirst="0" w:colLast="0"/>
      <w:bookmarkStart w:id="295" w:name="_3d3e9odqzwx0" w:colFirst="0" w:colLast="0"/>
      <w:bookmarkStart w:id="296" w:name="_8gpvi1clotas" w:colFirst="0" w:colLast="0"/>
      <w:bookmarkEnd w:id="292"/>
      <w:bookmarkEnd w:id="293"/>
      <w:bookmarkEnd w:id="294"/>
      <w:bookmarkEnd w:id="295"/>
      <w:bookmarkEnd w:id="296"/>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297" w:name="_Hlk44319749"/>
      <w:r>
        <w:t>the numeric sign |2| is used in Old Sundanese to represent the phonemes /</w:t>
      </w:r>
      <w:proofErr w:type="spellStart"/>
      <w:r>
        <w:t>ro</w:t>
      </w:r>
      <w:proofErr w:type="spellEnd"/>
      <w:r>
        <w:t>/</w:t>
      </w:r>
      <w:bookmarkEnd w:id="297"/>
      <w:r>
        <w:t xml:space="preserve"> (presumably because the word for the numeral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numeral in this case, the XML markup for numerals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281"/>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i/>
          <w:iCs/>
          <w:noProof/>
        </w:rPr>
        <w:footnoteReference w:id="99"/>
      </w:r>
    </w:p>
    <w:p>
      <w:pPr>
        <w:pStyle w:val="Cmsor2"/>
      </w:pPr>
      <w:bookmarkStart w:id="298" w:name="_Ref201332101"/>
      <w:r>
        <w:t>Variation in glyph composition</w:t>
      </w:r>
      <w:bookmarkEnd w:id="298"/>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a complex source character is composed in a way other than what would be expected on the basis of the general rules of the Indic system. </w:t>
      </w:r>
    </w:p>
    <w:p>
      <w:pPr>
        <w:pStyle w:val="Cmsor3"/>
      </w:pPr>
      <w:bookmarkStart w:id="299" w:name="_Toc201845417"/>
      <w:r>
        <w:lastRenderedPageBreak/>
        <w:t>Text-based editorial markup for complex characters</w:t>
      </w:r>
      <w:bookmarkEnd w:id="299"/>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3"/>
      </w:pPr>
      <w:bookmarkStart w:id="300" w:name="_Ref201134366"/>
      <w:bookmarkStart w:id="301" w:name="_Ref162445252"/>
      <w:bookmarkStart w:id="302" w:name="_Toc199757570"/>
      <w:bookmarkStart w:id="303" w:name="_Toc201845418"/>
      <w:r>
        <w:t>Conjunct consonants in writing systems where they are not the norm</w:t>
      </w:r>
      <w:bookmarkEnd w:id="300"/>
      <w:bookmarkEnd w:id="303"/>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3"/>
      </w:pPr>
      <w:bookmarkStart w:id="304" w:name="_Ref201067237"/>
      <w:bookmarkStart w:id="305" w:name="_Ref162447839"/>
      <w:bookmarkStart w:id="306" w:name="_Toc199757571"/>
      <w:bookmarkStart w:id="307" w:name="_Toc201845419"/>
      <w:r>
        <w:t xml:space="preserve">Independent and dependent </w:t>
      </w:r>
      <w:r>
        <w:rPr>
          <w:rStyle w:val="Foreign"/>
        </w:rPr>
        <w:t>upadhmānīya</w:t>
      </w:r>
      <w:r>
        <w:t xml:space="preserve"> and </w:t>
      </w:r>
      <w:r>
        <w:rPr>
          <w:rStyle w:val="Foreign"/>
        </w:rPr>
        <w:t>jihvāmūlīya</w:t>
      </w:r>
      <w:bookmarkEnd w:id="304"/>
      <w:bookmarkEnd w:id="307"/>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3"/>
      </w:pPr>
      <w:bookmarkStart w:id="308" w:name="_Ref23844494"/>
      <w:bookmarkStart w:id="309" w:name="_Toc201845420"/>
      <w:r>
        <w:lastRenderedPageBreak/>
        <w:t>Alternative behaviour of the superscript |r|</w:t>
      </w:r>
      <w:bookmarkEnd w:id="309"/>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10" w:name="_Ref201584290"/>
            <w:r>
              <w:t xml:space="preserve">Figure </w:t>
            </w:r>
            <w:fldSimple w:instr=" STYLEREF 2 \s ">
              <w:r>
                <w:rPr>
                  <w:noProof/>
                </w:rPr>
                <w:t>5.3</w:t>
              </w:r>
            </w:fldSimple>
            <w:r>
              <w:t>.</w:t>
            </w:r>
            <w:fldSimple w:instr=" SEQ Figure \* ALPHABETIC \s 2 ">
              <w:r>
                <w:rPr>
                  <w:noProof/>
                </w:rPr>
                <w:t>A</w:t>
              </w:r>
            </w:fldSimple>
            <w:bookmarkEnd w:id="310"/>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3"/>
      </w:pPr>
      <w:bookmarkStart w:id="311" w:name="_Ref201309720"/>
      <w:bookmarkStart w:id="312" w:name="_Toc201845421"/>
      <w:bookmarkEnd w:id="305"/>
      <w:bookmarkEnd w:id="306"/>
      <w:bookmarkEnd w:id="308"/>
      <w:r>
        <w:t xml:space="preserve">Multiple vowel markers within a </w:t>
      </w:r>
      <w:bookmarkEnd w:id="301"/>
      <w:bookmarkEnd w:id="302"/>
      <w:bookmarkEnd w:id="311"/>
      <w:r>
        <w:t>complex glyph</w:t>
      </w:r>
      <w:bookmarkEnd w:id="312"/>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13" w:name="_Ref201585568"/>
            <w:r>
              <w:lastRenderedPageBreak/>
              <w:t xml:space="preserve">Figure </w:t>
            </w:r>
            <w:fldSimple w:instr=" STYLEREF 2 \s ">
              <w:r>
                <w:rPr>
                  <w:noProof/>
                </w:rPr>
                <w:t>5.3</w:t>
              </w:r>
            </w:fldSimple>
            <w:r>
              <w:t>.</w:t>
            </w:r>
            <w:fldSimple w:instr=" SEQ Figure \* ALPHABETIC \s 2 ">
              <w:r>
                <w:rPr>
                  <w:noProof/>
                </w:rPr>
                <w:t>B</w:t>
              </w:r>
            </w:fldSimple>
            <w:bookmarkEnd w:id="313"/>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3"/>
      </w:pPr>
      <w:bookmarkStart w:id="314" w:name="_Toc201845422"/>
      <w:r>
        <w:t>Independent vowel signs as parts of complex glyphs</w:t>
      </w:r>
      <w:bookmarkEnd w:id="314"/>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15" w:name="_Ref201588812"/>
            <w:r>
              <w:t xml:space="preserve">Figure </w:t>
            </w:r>
            <w:fldSimple w:instr=" STYLEREF 2 \s ">
              <w:r>
                <w:rPr>
                  <w:noProof/>
                </w:rPr>
                <w:t>5.3</w:t>
              </w:r>
            </w:fldSimple>
            <w:r>
              <w:t>.</w:t>
            </w:r>
            <w:fldSimple w:instr=" SEQ Figure \* ALPHABETIC \s 2 ">
              <w:r>
                <w:rPr>
                  <w:noProof/>
                </w:rPr>
                <w:t>C</w:t>
              </w:r>
            </w:fldSimple>
            <w:bookmarkEnd w:id="315"/>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48"/>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49"/>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pPr>
        <w:pStyle w:val="Cmsor1"/>
      </w:pPr>
      <w:r>
        <w:lastRenderedPageBreak/>
        <w:t>Transliterating non-alphabetic signs</w:t>
      </w:r>
      <w:bookmarkEnd w:id="282"/>
      <w:bookmarkEnd w:id="283"/>
    </w:p>
    <w:p>
      <w:pPr>
        <w:pStyle w:val="Cmsor2"/>
      </w:pPr>
      <w:bookmarkStart w:id="316" w:name="_lskh4nb1o2vy" w:colFirst="0" w:colLast="0"/>
      <w:bookmarkStart w:id="317" w:name="_Toc17811442"/>
      <w:bookmarkStart w:id="318" w:name="_Toc17811497"/>
      <w:bookmarkStart w:id="319" w:name="_Ref199858079"/>
      <w:bookmarkEnd w:id="316"/>
      <w:r>
        <w:t>Numer</w:t>
      </w:r>
      <w:bookmarkEnd w:id="317"/>
      <w:bookmarkEnd w:id="318"/>
      <w:r>
        <w:t>ic signs</w:t>
      </w:r>
      <w:bookmarkEnd w:id="319"/>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numeric signs can be considered graphemes for all practical purposes, and as such, we strive to transliterate them one-on-one. The Arabic numerals</w:t>
      </w:r>
      <w:r>
        <w:rPr>
          <w:rStyle w:val="Lbjegyzet-hivatkozs"/>
          <w:lang w:eastAsia="en-US" w:bidi="ar-SA"/>
        </w:rPr>
        <w:footnoteReference w:id="100"/>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lang w:eastAsia="en-US" w:bidi="ar-SA"/>
        </w:rPr>
        <w:footnoteReference w:id="101"/>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numeric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numeric sign of the original.</w:t>
      </w:r>
    </w:p>
    <w:p>
      <w:pPr>
        <w:pStyle w:val="Normlbehzs"/>
        <w:rPr>
          <w:lang w:eastAsia="en-US" w:bidi="ar-SA"/>
        </w:rPr>
      </w:pPr>
      <w:r>
        <w:rPr>
          <w:lang w:eastAsia="en-US" w:bidi="ar-SA"/>
        </w:rPr>
        <w:t>In XML editions, but nowhere else, all numerals written in numeric signs must, and all numerals written in words may be encoded so that the value of the numeral as a whole is recorded in the encoding, as described in EGD §###. This encoding is not applicable to (originally) numeric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pPr>
        <w:pStyle w:val="Cmsor3"/>
      </w:pPr>
      <w:bookmarkStart w:id="320" w:name="_Ref201744264"/>
      <w:bookmarkStart w:id="321" w:name="_Ref201745191"/>
      <w:bookmarkStart w:id="322" w:name="_Toc201845423"/>
      <w:r>
        <w:t>The digits 0 to 9</w:t>
      </w:r>
      <w:bookmarkEnd w:id="320"/>
      <w:bookmarkEnd w:id="321"/>
      <w:bookmarkEnd w:id="32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23" w:name="_Ref201743246"/>
            <w:r>
              <w:t xml:space="preserve">Figure </w:t>
            </w:r>
            <w:fldSimple w:instr=" STYLEREF 2 \s ">
              <w:r>
                <w:rPr>
                  <w:noProof/>
                </w:rPr>
                <w:t>6.1</w:t>
              </w:r>
            </w:fldSimple>
            <w:r>
              <w:t>.</w:t>
            </w:r>
            <w:fldSimple w:instr=" SEQ Figure \* ALPHABETIC \s 2 ">
              <w:r>
                <w:rPr>
                  <w:noProof/>
                </w:rPr>
                <w:t>A</w:t>
              </w:r>
            </w:fldSimple>
            <w:bookmarkEnd w:id="323"/>
            <w:r>
              <w:t>. Numeric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numeric sign which denotes an integer between 0 and 9 is to be transliterated plainly with the equivalent Arabic digit. The numeric signs themselves require no markup, but the value of the numeral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numeric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numeric signs other than those for 0 to 9. The digits of a multi-digit number written in place-value notation must not be separated from one another by spaces. </w:t>
      </w:r>
    </w:p>
    <w:p>
      <w:pPr>
        <w:pStyle w:val="Cmsor3"/>
      </w:pPr>
      <w:bookmarkStart w:id="324" w:name="_Toc201845424"/>
      <w:r>
        <w:t>Other numeric signs</w:t>
      </w:r>
      <w:bookmarkEnd w:id="324"/>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4"/>
      </w:pPr>
      <w:bookmarkStart w:id="325" w:name="_Ref201745374"/>
      <w:bookmarkStart w:id="326" w:name="_Toc201845425"/>
      <w:r>
        <w:t>Markup for numeric signs transliterated with more than one target character</w:t>
      </w:r>
      <w:bookmarkEnd w:id="325"/>
      <w:bookmarkEnd w:id="326"/>
    </w:p>
    <w:p>
      <w:pPr>
        <w:rPr>
          <w:lang w:eastAsia="en-US" w:bidi="ar-SA"/>
        </w:rPr>
      </w:pPr>
      <w:r>
        <w:rPr>
          <w:lang w:eastAsia="en-US" w:bidi="ar-SA"/>
        </w:rPr>
        <w:t>Two or more transliterated characters corresponding to a single numeric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lastRenderedPageBreak/>
        <w:t>although the use of the + sign is inspired by the conventional transliteration of sign-value ciphers in additive notation, in our scheme it does not signify addition, and its use is not identical to that conventional transliteration</w:t>
      </w:r>
    </w:p>
    <w:p>
      <w:pPr>
        <w:pStyle w:val="Lista"/>
        <w:rPr>
          <w:lang w:eastAsia="en-US" w:bidi="ar-SA"/>
        </w:rPr>
      </w:pPr>
      <w:r>
        <w:t>editorial spaces in conjunction with such numeric signs shall be used as follows</w:t>
      </w:r>
    </w:p>
    <w:p>
      <w:pPr>
        <w:pStyle w:val="Lista2"/>
        <w:rPr>
          <w:lang w:eastAsia="en-US" w:bidi="ar-SA"/>
        </w:rPr>
      </w:pPr>
      <w:r>
        <w:rPr>
          <w:lang w:eastAsia="en-US" w:bidi="ar-SA"/>
        </w:rPr>
        <w:t>no space between any of the target characters that belong together</w:t>
      </w:r>
    </w:p>
    <w:p>
      <w:pPr>
        <w:pStyle w:val="Lista2"/>
        <w:rPr>
          <w:lang w:eastAsia="en-US" w:bidi="ar-SA"/>
        </w:rPr>
      </w:pPr>
      <w:r>
        <w:rPr>
          <w:lang w:eastAsia="en-US" w:bidi="ar-SA"/>
        </w:rPr>
        <w:t>no space between these target characters and the plus sign</w:t>
      </w:r>
    </w:p>
    <w:p>
      <w:pPr>
        <w:pStyle w:val="Lista2"/>
        <w:rPr>
          <w:lang w:eastAsia="en-US" w:bidi="ar-SA"/>
        </w:rPr>
      </w:pPr>
      <w:r>
        <w:rPr>
          <w:lang w:eastAsia="en-US" w:bidi="ar-SA"/>
        </w:rPr>
        <w:t>space after the plus sign</w:t>
      </w:r>
    </w:p>
    <w:p>
      <w:pPr>
        <w:pStyle w:val="Cmsor4"/>
      </w:pPr>
      <w:bookmarkStart w:id="327" w:name="_Ref201744249"/>
      <w:bookmarkStart w:id="328" w:name="_Toc201845426"/>
      <w:r>
        <w:t xml:space="preserve">Signs for numbers greater than </w:t>
      </w:r>
      <w:bookmarkEnd w:id="327"/>
      <w:r>
        <w:t>9</w:t>
      </w:r>
      <w:bookmarkEnd w:id="328"/>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29" w:name="_Ref201743650"/>
            <w:r>
              <w:t xml:space="preserve">Figure </w:t>
            </w:r>
            <w:fldSimple w:instr=" STYLEREF 2 \s ">
              <w:r>
                <w:rPr>
                  <w:noProof/>
                </w:rPr>
                <w:t>6.1</w:t>
              </w:r>
            </w:fldSimple>
            <w:r>
              <w:t>.</w:t>
            </w:r>
            <w:fldSimple w:instr=" SEQ Figure \* ALPHABETIC \s 2 ">
              <w:r>
                <w:rPr>
                  <w:noProof/>
                </w:rPr>
                <w:t>B</w:t>
              </w:r>
            </w:fldSimple>
            <w:bookmarkEnd w:id="329"/>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55"/>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|10|, i.e. the numeral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|80| |2|, i.e. the numeral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|200| |80| |2|, i.e. the numeral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|100| |20|, i.e. the numeral one hundred and twenty written with a glyph denoting one hundred and one denoting twenty → 100+ 20+</w:t>
      </w:r>
    </w:p>
    <w:p>
      <w:pPr>
        <w:pStyle w:val="Lista2"/>
      </w:pPr>
      <w:r>
        <w:t>note that the + must be present after 10</w:t>
      </w:r>
    </w:p>
    <w:p>
      <w:pPr>
        <w:pStyle w:val="Lista"/>
      </w:pPr>
      <w:r>
        <w:t>|80| |10|, i.e. the numeral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numeral one thousand four hundred and forty written in Tamil notation with glyphs respectively denoting one thousand, four [times], one hundred, </w:t>
      </w:r>
      <w:r>
        <w:t xml:space="preserve">four </w:t>
      </w:r>
      <w:r>
        <w:t>[times],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Pr>
        <w:pStyle w:val="Cmsor4"/>
      </w:pPr>
      <w:bookmarkStart w:id="330" w:name="_Toc199757573"/>
      <w:bookmarkStart w:id="331" w:name="_Ref201744279"/>
      <w:bookmarkStart w:id="332" w:name="_Ref201745349"/>
      <w:bookmarkStart w:id="333" w:name="_Toc201845427"/>
      <w:r>
        <w:lastRenderedPageBreak/>
        <w:t>Numbers denoted by bars</w:t>
      </w:r>
      <w:bookmarkEnd w:id="330"/>
      <w:bookmarkEnd w:id="331"/>
      <w:bookmarkEnd w:id="332"/>
      <w:bookmarkEnd w:id="333"/>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34" w:name="_Ref201760007"/>
            <w:r>
              <w:t xml:space="preserve">Figure </w:t>
            </w:r>
            <w:fldSimple w:instr=" STYLEREF 2 \s ">
              <w:r>
                <w:rPr>
                  <w:noProof/>
                </w:rPr>
                <w:t>6.1</w:t>
              </w:r>
            </w:fldSimple>
            <w:r>
              <w:t>.</w:t>
            </w:r>
            <w:fldSimple w:instr=" SEQ Figure \* ALPHABETIC \s 2 ">
              <w:r>
                <w:rPr>
                  <w:noProof/>
                </w:rPr>
                <w:t>C</w:t>
              </w:r>
            </w:fldSimple>
            <w:bookmarkEnd w:id="334"/>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numeric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
      <w:pPr>
        <w:pStyle w:val="Cmsor4"/>
      </w:pPr>
      <w:bookmarkStart w:id="335" w:name="_Ref23770948"/>
      <w:bookmarkStart w:id="336" w:name="_Toc199757574"/>
      <w:bookmarkStart w:id="337" w:name="_Toc201845428"/>
      <w:r>
        <w:t>Fraction signs</w:t>
      </w:r>
      <w:bookmarkEnd w:id="335"/>
      <w:bookmarkEnd w:id="336"/>
      <w:bookmarkEnd w:id="337"/>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38" w:name="_Ref201760597"/>
            <w:r>
              <w:t xml:space="preserve">Figure </w:t>
            </w:r>
            <w:fldSimple w:instr=" STYLEREF 2 \s ">
              <w:r>
                <w:rPr>
                  <w:noProof/>
                </w:rPr>
                <w:t>6.1</w:t>
              </w:r>
            </w:fldSimple>
            <w:r>
              <w:t>.</w:t>
            </w:r>
            <w:fldSimple w:instr=" SEQ Figure \* ALPHABETIC \s 2 ">
              <w:r>
                <w:rPr>
                  <w:noProof/>
                </w:rPr>
                <w:t>D</w:t>
              </w:r>
            </w:fldSimple>
            <w:bookmarkEnd w:id="338"/>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w:t>
      </w:r>
      <w:r>
        <w:t>→ 1/</w:t>
      </w:r>
      <w:r>
        <w:t>40</w:t>
      </w:r>
      <w:r>
        <w:t xml:space="preserve">+  as in </w:t>
      </w:r>
      <w:r>
        <w:t xml:space="preserve">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
      </w:pPr>
      <w:bookmarkStart w:id="339" w:name="_fxkp7m4gvcim" w:colFirst="0" w:colLast="0"/>
      <w:bookmarkStart w:id="340" w:name="_Toc17811443"/>
      <w:bookmarkStart w:id="341" w:name="_Toc17811498"/>
      <w:bookmarkStart w:id="342" w:name="_Ref24531259"/>
      <w:bookmarkEnd w:id="339"/>
      <w:r>
        <w:t>for the editorial spacing of such numbers, see §</w:t>
      </w:r>
      <w:r>
        <w:fldChar w:fldCharType="begin"/>
      </w:r>
      <w:r>
        <w:instrText xml:space="preserve"> REF _Ref201745374 \r \h </w:instrText>
      </w:r>
      <w:r>
        <w:fldChar w:fldCharType="separate"/>
      </w:r>
      <w:r>
        <w:t>6.1.2.1</w:t>
      </w:r>
      <w:r>
        <w:fldChar w:fldCharType="end"/>
      </w:r>
    </w:p>
    <w:p>
      <w:pPr>
        <w:pStyle w:val="Cmsor2"/>
      </w:pPr>
      <w:bookmarkStart w:id="343" w:name="_Ref201844934"/>
      <w:r>
        <w:t>Signs with special graphematic functions</w:t>
      </w:r>
      <w:bookmarkEnd w:id="343"/>
    </w:p>
    <w:p>
      <w:pPr>
        <w:pStyle w:val="Cmsor3"/>
      </w:pPr>
      <w:bookmarkStart w:id="344" w:name="_Toc201845429"/>
      <w:bookmarkStart w:id="345" w:name="_Ref201846134"/>
      <w:bookmarkStart w:id="346" w:name="_Ref201846166"/>
      <w:bookmarkStart w:id="347" w:name="_Ref201847243"/>
      <w:proofErr w:type="spellStart"/>
      <w:r>
        <w:t>Avagraha</w:t>
      </w:r>
      <w:bookmarkEnd w:id="344"/>
      <w:bookmarkEnd w:id="345"/>
      <w:bookmarkEnd w:id="346"/>
      <w:bookmarkEnd w:id="347"/>
      <w:proofErr w:type="spellEnd"/>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6.2.1.1</w:t>
      </w:r>
      <w:r>
        <w:fldChar w:fldCharType="end"/>
      </w:r>
      <w:r>
        <w:t>).</w:t>
      </w:r>
    </w:p>
    <w:p>
      <w:pPr>
        <w:pStyle w:val="Lista"/>
      </w:pPr>
      <w:bookmarkStart w:id="348" w:name="_Toc201845430"/>
      <w:bookmarkStart w:id="349" w:name="_Toc201845393"/>
      <w:bookmarkStart w:id="350" w:name="_Ref201846378"/>
      <w:r>
        <w:t>use the transliteration ’ (</w:t>
      </w:r>
      <w:r>
        <w:rPr>
          <w:rStyle w:val="Code"/>
        </w:rPr>
        <w:t>U+2019</w:t>
      </w:r>
      <w:r>
        <w:t xml:space="preserve"> Right Single Quotation Mark</w:t>
      </w:r>
      <w:r>
        <w:t xml:space="preserve">)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w:t>
      </w:r>
      <w:r>
        <w:rPr>
          <w:rFonts w:cs="Gentium"/>
        </w:rPr>
        <w:t xml:space="preserve"> </w:t>
      </w:r>
      <w:r>
        <w:t>’</w:t>
      </w:r>
    </w:p>
    <w:p>
      <w:pPr>
        <w:pStyle w:val="Lista"/>
      </w:pPr>
      <w:r>
        <w:rPr>
          <w:rStyle w:val="Label"/>
        </w:rPr>
        <w:t>shorthand</w:t>
      </w:r>
      <w:r>
        <w:rPr>
          <w:rStyle w:val="Label"/>
        </w:rPr>
        <w:t>:</w:t>
      </w:r>
      <w:r>
        <w:t xml:space="preserve"> the character </w:t>
      </w:r>
      <w:r>
        <w:t>' (</w:t>
      </w:r>
      <w:r>
        <w:rPr>
          <w:rStyle w:val="Code"/>
        </w:rPr>
        <w:t>U+0027</w:t>
      </w:r>
      <w:r>
        <w:t xml:space="preserve"> A</w:t>
      </w:r>
      <w:r>
        <w:t>postrophe)</w:t>
      </w:r>
      <w:r>
        <w:t>, which is accessible on most keyboards, may be used as an alternative</w:t>
      </w:r>
    </w:p>
    <w:p>
      <w:pPr>
        <w:pStyle w:val="Lista2"/>
      </w:pPr>
      <w:commentRangeStart w:id="351"/>
      <w:r>
        <w:t xml:space="preserve">this will be processed </w:t>
      </w:r>
      <w:commentRangeEnd w:id="351"/>
      <w:r>
        <w:rPr>
          <w:rStyle w:val="Jegyzethivatkozs"/>
          <w:rFonts w:cs="Murty Sanskrit"/>
        </w:rPr>
        <w:commentReference w:id="351"/>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r>
        <w:lastRenderedPageBreak/>
        <w:t xml:space="preserve">Editorial </w:t>
      </w:r>
      <w:r>
        <w:rPr>
          <w:rStyle w:val="Foreign"/>
        </w:rPr>
        <w:t>avagraha</w:t>
      </w:r>
      <w:bookmarkEnd w:id="349"/>
      <w:bookmarkEnd w:id="350"/>
    </w:p>
    <w:p>
      <w:pPr>
        <w:rPr>
          <w:lang w:eastAsia="en-US" w:bidi="ar-SA"/>
        </w:rPr>
      </w:pPr>
      <w:r>
        <w:t xml:space="preserve">Where an </w:t>
      </w:r>
      <w:r>
        <w:rPr>
          <w:rStyle w:val="Foreign"/>
        </w:rPr>
        <w:t>av</w:t>
      </w:r>
      <w:r>
        <w:rPr>
          <w:rStyle w:val="Foreign"/>
        </w:rPr>
        <w:t>agraha</w:t>
      </w:r>
      <w:r>
        <w:rPr>
          <w:lang w:eastAsia="en-US" w:bidi="ar-SA"/>
        </w:rPr>
        <w:t xml:space="preserve"> </w:t>
      </w:r>
      <w:r>
        <w:rPr>
          <w:lang w:eastAsia="en-US" w:bidi="ar-SA"/>
        </w:rPr>
        <w:t xml:space="preserve">is expected </w:t>
      </w:r>
      <w:r>
        <w:rPr>
          <w:lang w:eastAsia="en-US" w:bidi="ar-SA"/>
        </w:rPr>
        <w:t xml:space="preserve">according to the modern conventions of </w:t>
      </w:r>
      <w:r>
        <w:t xml:space="preserve">this sign’s </w:t>
      </w:r>
      <w:r>
        <w:t>us</w:t>
      </w:r>
      <w:r>
        <w:t xml:space="preserve">age, but none is </w:t>
      </w:r>
      <w:r>
        <w:rPr>
          <w:lang w:eastAsia="en-US" w:bidi="ar-SA"/>
        </w:rPr>
        <w:t>present in the source</w:t>
      </w:r>
      <w:r>
        <w:rPr>
          <w:lang w:eastAsia="en-US" w:bidi="ar-SA"/>
        </w:rPr>
        <w:t>,</w:t>
      </w:r>
      <w:r>
        <w:rPr>
          <w:lang w:eastAsia="en-US" w:bidi="ar-SA"/>
        </w:rPr>
        <w:t xml:space="preserve"> </w:t>
      </w:r>
      <w:r>
        <w:rPr>
          <w:lang w:eastAsia="en-US" w:bidi="ar-SA"/>
        </w:rPr>
        <w:t xml:space="preserve">it </w:t>
      </w:r>
      <w:r>
        <w:rPr>
          <w:lang w:eastAsia="en-US" w:bidi="ar-SA"/>
        </w:rPr>
        <w:t>may be supplied by the editor</w:t>
      </w:r>
      <w:r>
        <w:rPr>
          <w:lang w:eastAsia="en-US" w:bidi="ar-SA"/>
        </w:rPr>
        <w:t xml:space="preserve">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 character (§</w:t>
      </w:r>
      <w:r>
        <w:fldChar w:fldCharType="begin"/>
      </w:r>
      <w:r>
        <w:instrText xml:space="preserve"> REF _Ref201847243 \r \h </w:instrText>
      </w:r>
      <w:r>
        <w:fldChar w:fldCharType="separate"/>
      </w:r>
      <w:r>
        <w:t>6.2.1</w:t>
      </w:r>
      <w:r>
        <w:fldChar w:fldCharType="end"/>
      </w:r>
      <w:r>
        <w:t xml:space="preserve">) for editorial </w:t>
      </w:r>
      <w:proofErr w:type="spellStart"/>
      <w:r>
        <w:rPr>
          <w:rStyle w:val="Foreign"/>
        </w:rPr>
        <w:t>avagraha</w:t>
      </w:r>
      <w:r>
        <w:t>s</w:t>
      </w:r>
      <w:proofErr w:type="spellEnd"/>
      <w:r>
        <w:t>, and eventually replace them with XML markup</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w:t>
      </w:r>
      <w:r>
        <w:t>is recommended</w:t>
      </w:r>
      <w:r>
        <w:t xml:space="preserve"> in general, but</w:t>
      </w:r>
      <w:r>
        <w:t xml:space="preserve"> especially in cases where the </w:t>
      </w:r>
      <w:r>
        <w:t xml:space="preserve">received </w:t>
      </w:r>
      <w:r>
        <w:t xml:space="preserve">text would be meaningful (and </w:t>
      </w:r>
      <w:r>
        <w:t xml:space="preserve">often </w:t>
      </w:r>
      <w:r>
        <w:t xml:space="preserve">contradictory in meaning) both with and without an </w:t>
      </w:r>
      <w:r>
        <w:rPr>
          <w:rStyle w:val="Foreign"/>
        </w:rPr>
        <w:t>avagraha</w:t>
      </w:r>
    </w:p>
    <w:p>
      <w:pPr>
        <w:pStyle w:val="Lista2"/>
      </w:pPr>
      <w:r>
        <w:t>for example,</w:t>
      </w:r>
      <w:r>
        <w:t xml:space="preserve"> the inscribed sequence </w:t>
      </w:r>
      <w:r>
        <w:rPr>
          <w:rStyle w:val="Foreign"/>
        </w:rPr>
        <w:t>sohataḥ</w:t>
      </w:r>
      <w:r>
        <w:t xml:space="preserve"> may stand for </w:t>
      </w:r>
      <w:r>
        <w:rPr>
          <w:rStyle w:val="Foreign"/>
        </w:rPr>
        <w:t>so hataḥ</w:t>
      </w:r>
      <w:r>
        <w:t xml:space="preserve"> </w:t>
      </w:r>
      <w:r>
        <w:t xml:space="preserve">(“he was killed”) </w:t>
      </w:r>
      <w:r>
        <w:t xml:space="preserve">or </w:t>
      </w:r>
      <w:r>
        <w:rPr>
          <w:rStyle w:val="Foreign"/>
        </w:rPr>
        <w:t>so ’hataḥ</w:t>
      </w:r>
      <w:r>
        <w:t xml:space="preserve"> (i.e. </w:t>
      </w:r>
      <w:r>
        <w:rPr>
          <w:rStyle w:val="Foreign"/>
        </w:rPr>
        <w:t>saḥ ahataḥ</w:t>
      </w:r>
      <w:r>
        <w:t>, “he was not killed”)</w:t>
      </w:r>
      <w:r>
        <w:t xml:space="preserve">, so if you interpret the text as the latter, then supply an </w:t>
      </w:r>
      <w:r>
        <w:rPr>
          <w:rStyle w:val="Foreign"/>
        </w:rPr>
        <w:t>avagraha</w:t>
      </w:r>
      <w:r>
        <w:t xml:space="preserve"> to make this clear</w:t>
      </w:r>
    </w:p>
    <w:p>
      <w:pPr>
        <w:pStyle w:val="Lista2"/>
      </w:pPr>
      <w:r>
        <w:t xml:space="preserve">if you feel that </w:t>
      </w:r>
      <w:r>
        <w:t xml:space="preserve">such </w:t>
      </w:r>
      <w:r>
        <w:t xml:space="preserve">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pPr>
        <w:pStyle w:val="Cmsor3"/>
      </w:pPr>
      <w:r>
        <w:t>Burmese abbreviation signs</w:t>
      </w:r>
      <w:bookmarkEnd w:id="348"/>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Cmsor2"/>
      </w:pPr>
      <w:bookmarkStart w:id="352" w:name="_Ref201845615"/>
      <w:r>
        <w:t>Symbols</w:t>
      </w:r>
      <w:bookmarkEnd w:id="352"/>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xml:space="preserve">.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Conversely, signs peripheral to the inscribed text </w:t>
      </w:r>
      <w:r>
        <w:t xml:space="preserve">of an inscription or manuscript </w:t>
      </w:r>
      <w:r>
        <w:t xml:space="preserve">are </w:t>
      </w:r>
      <w:r>
        <w:t>to be ignored (§</w:t>
      </w:r>
      <w:r>
        <w:fldChar w:fldCharType="begin"/>
      </w:r>
      <w:r>
        <w:instrText xml:space="preserve"> REF _Ref201761298 \r \h </w:instrText>
      </w:r>
      <w:r>
        <w:fldChar w:fldCharType="separate"/>
      </w:r>
      <w:r>
        <w:t>7.1</w:t>
      </w:r>
      <w:r>
        <w:fldChar w:fldCharType="end"/>
      </w:r>
      <w:r>
        <w:t>)</w:t>
      </w:r>
      <w:r>
        <w:t>.</w:t>
      </w:r>
    </w:p>
    <w:p>
      <w:pPr>
        <w:pStyle w:val="Normlbehzs"/>
      </w:pPr>
      <w:r>
        <w:t xml:space="preserve">Symbols integral to the text exhibit great graphic diversity in the source texts and can serve a variety of graphematic functions that cannot always be identified with precision. In our editions, we attempt to </w:t>
      </w:r>
      <w:r>
        <w:lastRenderedPageBreak/>
        <w:t>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formal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space fillers (§</w:t>
      </w:r>
      <w:r>
        <w:fldChar w:fldCharType="begin"/>
      </w:r>
      <w:r>
        <w:instrText xml:space="preserve"> REF _Ref201845440 \r \h </w:instrText>
      </w:r>
      <w:r>
        <w:fldChar w:fldCharType="separate"/>
      </w:r>
      <w:r>
        <w:t>6.3.2</w:t>
      </w:r>
      <w:r>
        <w:fldChar w:fldCharType="end"/>
      </w:r>
      <w:r>
        <w:t>), word break indicators (§</w:t>
      </w:r>
      <w:r>
        <w:fldChar w:fldCharType="begin"/>
      </w:r>
      <w:r>
        <w:instrText xml:space="preserve"> REF _Ref201845441 \r \h </w:instrText>
      </w:r>
      <w:r>
        <w:fldChar w:fldCharType="separate"/>
      </w:r>
      <w:r>
        <w:t>6.3.3</w:t>
      </w:r>
      <w:r>
        <w:fldChar w:fldCharType="end"/>
      </w:r>
      <w:r>
        <w:t>) and miscellaneous symbols (§</w:t>
      </w:r>
      <w:r>
        <w:fldChar w:fldCharType="begin"/>
      </w:r>
      <w:r>
        <w:instrText xml:space="preserve"> REF _Ref201762835 \r \h </w:instrText>
      </w:r>
      <w:r>
        <w:fldChar w:fldCharType="separate"/>
      </w:r>
      <w:r>
        <w:t>6.3.4</w:t>
      </w:r>
      <w:r>
        <w:fldChar w:fldCharType="end"/>
      </w:r>
      <w:r>
        <w:t>).</w:t>
      </w:r>
    </w:p>
    <w:p>
      <w:pPr>
        <w:pStyle w:val="Cmsor3"/>
      </w:pPr>
      <w:bookmarkStart w:id="353" w:name="_Toc199757575"/>
      <w:bookmarkStart w:id="354" w:name="_Ref199858162"/>
      <w:bookmarkStart w:id="355" w:name="_Ref201762157"/>
      <w:bookmarkStart w:id="356" w:name="_Ref201763012"/>
      <w:bookmarkStart w:id="357" w:name="_Toc201845431"/>
      <w:bookmarkEnd w:id="340"/>
      <w:bookmarkEnd w:id="341"/>
      <w:r>
        <w:t xml:space="preserve">Punctuation </w:t>
      </w:r>
      <w:bookmarkEnd w:id="342"/>
      <w:bookmarkEnd w:id="353"/>
      <w:bookmarkEnd w:id="354"/>
      <w:bookmarkEnd w:id="355"/>
      <w:bookmarkEnd w:id="356"/>
      <w:bookmarkEnd w:id="357"/>
      <w:r>
        <w:t>marks</w:t>
      </w:r>
    </w:p>
    <w:p>
      <w:pPr>
        <w:pStyle w:val="Cmsor4"/>
      </w:pPr>
      <w:bookmarkStart w:id="358" w:name="_Ref201763335"/>
      <w:bookmarkStart w:id="359" w:name="_Toc201845432"/>
      <w:r>
        <w:t>What is a punctuation mark?</w:t>
      </w:r>
      <w:bookmarkEnd w:id="358"/>
      <w:bookmarkEnd w:id="359"/>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_Ref201763699 \r \h </w:instrText>
      </w:r>
      <w:r>
        <w:fldChar w:fldCharType="separate"/>
      </w:r>
      <w:r>
        <w:t>6.3.4</w:t>
      </w:r>
      <w:r>
        <w:fldChar w:fldCharType="end"/>
      </w:r>
      <w:r>
        <w:t>)</w:t>
      </w:r>
    </w:p>
    <w:p>
      <w:pPr>
        <w:pStyle w:val="Cmsor4"/>
      </w:pPr>
      <w:bookmarkStart w:id="360" w:name="_Toc201845433"/>
      <w:commentRangeStart w:id="361"/>
      <w:r>
        <w:t>Transliterating punctuation marks</w:t>
      </w:r>
      <w:bookmarkEnd w:id="360"/>
      <w:commentRangeEnd w:id="361"/>
      <w:r>
        <w:rPr>
          <w:rStyle w:val="Jegyzethivatkozs"/>
          <w:rFonts w:ascii="Gentium" w:eastAsiaTheme="minorEastAsia" w:hAnsi="Gentium" w:cs="Murty Sanskrit"/>
          <w:kern w:val="2"/>
          <w:lang w:eastAsia="zh-TW" w:bidi="hi-IN"/>
          <w14:ligatures w14:val="standardContextual"/>
        </w:rPr>
        <w:commentReference w:id="361"/>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lastRenderedPageBreak/>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362" w:name="_Ref201842298"/>
      <w:bookmarkStart w:id="363" w:name="_Toc201845434"/>
      <w:r>
        <w:t>Supplying punctuation</w:t>
      </w:r>
      <w:bookmarkEnd w:id="362"/>
      <w:bookmarkEnd w:id="363"/>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w:t>
      </w:r>
      <w:r>
        <w:t xml:space="preserve"> use a . (full stop, period) for supplied punctuation while preparing your edition, then convert it to the proper encoding</w:t>
      </w:r>
    </w:p>
    <w:p>
      <w:pPr>
        <w:pStyle w:val="Cmsor3"/>
      </w:pPr>
      <w:bookmarkStart w:id="364" w:name="_118t60ako401" w:colFirst="0" w:colLast="0"/>
      <w:bookmarkStart w:id="365" w:name="_Ref201763071"/>
      <w:bookmarkStart w:id="366" w:name="_Toc17811444"/>
      <w:bookmarkStart w:id="367" w:name="_Toc17811499"/>
      <w:bookmarkStart w:id="368" w:name="_Toc199757576"/>
      <w:bookmarkStart w:id="369" w:name="_Ref199858237"/>
      <w:bookmarkStart w:id="370" w:name="_Toc201845435"/>
      <w:bookmarkStart w:id="371" w:name="_Ref201845440"/>
      <w:bookmarkEnd w:id="364"/>
      <w:commentRangeStart w:id="372"/>
      <w:r>
        <w:t xml:space="preserve">Space filler </w:t>
      </w:r>
      <w:bookmarkEnd w:id="366"/>
      <w:bookmarkEnd w:id="367"/>
      <w:bookmarkEnd w:id="368"/>
      <w:bookmarkEnd w:id="369"/>
      <w:bookmarkEnd w:id="370"/>
      <w:bookmarkEnd w:id="371"/>
      <w:r>
        <w:t>symbols</w:t>
      </w:r>
      <w:commentRangeEnd w:id="372"/>
      <w:r>
        <w:rPr>
          <w:rStyle w:val="Jegyzethivatkozs"/>
          <w:rFonts w:ascii="Gentium" w:eastAsiaTheme="minorEastAsia" w:hAnsi="Gentium" w:cs="Murty Sanskrit"/>
          <w:kern w:val="2"/>
          <w:lang w:eastAsia="zh-TW" w:bidi="hi-IN"/>
          <w14:ligatures w14:val="standardContextual"/>
        </w:rPr>
        <w:commentReference w:id="372"/>
      </w:r>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miscellaneous symbols even if they are identical in visual appearance to symbols used as space fillers elsewhere in the document or the corpus</w:t>
      </w:r>
    </w:p>
    <w:p>
      <w:pPr>
        <w:pStyle w:val="Cmsor3"/>
      </w:pPr>
      <w:bookmarkStart w:id="373" w:name="_Ref201845887"/>
      <w:r>
        <w:t>Word break indicators</w:t>
      </w:r>
      <w:bookmarkEnd w:id="373"/>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374" w:name="_Toc199757577"/>
      <w:bookmarkStart w:id="375" w:name="_Ref199858345"/>
      <w:bookmarkStart w:id="376" w:name="_Toc17811446"/>
      <w:bookmarkStart w:id="377" w:name="_Toc17811501"/>
      <w:bookmarkStart w:id="378" w:name="_Ref22719364"/>
      <w:bookmarkStart w:id="379" w:name="_Ref201762835"/>
      <w:bookmarkStart w:id="380" w:name="_Ref201763699"/>
      <w:bookmarkStart w:id="381" w:name="_Ref201309645"/>
      <w:bookmarkStart w:id="382" w:name="_Toc201845437"/>
      <w:bookmarkEnd w:id="365"/>
      <w:r>
        <w:t xml:space="preserve">Miscellaneous </w:t>
      </w:r>
      <w:bookmarkEnd w:id="379"/>
      <w:bookmarkEnd w:id="380"/>
      <w:bookmarkEnd w:id="382"/>
      <w:r>
        <w:t>symbols</w:t>
      </w:r>
    </w:p>
    <w:p>
      <w:r>
        <w:t>@write when symbol encoding finalised</w:t>
      </w:r>
    </w:p>
    <w:p>
      <w:r>
        <w:t>We use the term ‘miscellaneous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w:t>
      </w:r>
      <w:r>
        <w:fldChar w:fldCharType="end"/>
      </w:r>
      <w:r>
        <w:t>) or word break indicator (§</w:t>
      </w:r>
      <w:r>
        <w:fldChar w:fldCharType="begin"/>
      </w:r>
      <w:r>
        <w:instrText xml:space="preserve"> REF _Ref201845887 \r \h </w:instrText>
      </w:r>
      <w:r>
        <w:fldChar w:fldCharType="separate"/>
      </w:r>
      <w:r>
        <w:t>6.3.3</w:t>
      </w:r>
      <w:r>
        <w:fldChar w:fldCharType="end"/>
      </w:r>
      <w: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miscellaneous symbols</w:t>
      </w:r>
    </w:p>
    <w:p>
      <w:pPr>
        <w:pStyle w:val="Lista2"/>
      </w:pPr>
      <w:r>
        <w:lastRenderedPageBreak/>
        <w:t>as tokens, using $</w:t>
      </w:r>
      <w:proofErr w:type="spellStart"/>
      <w:r>
        <w:t>abc</w:t>
      </w:r>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2"/>
      </w:pPr>
      <w:r>
        <w:t xml:space="preserve">as dingbats, using any Unicode character approximating the original glyph (e.g. </w:t>
      </w:r>
      <w:r>
        <w:rPr>
          <w:rFonts w:ascii="Segoe UI Symbol" w:hAnsi="Segoe UI Symbol"/>
        </w:rPr>
        <w:t>◊</w:t>
      </w:r>
      <w:r>
        <w:rPr>
          <w:rFonts w:ascii="Segoe UI Symbol" w:eastAsia="SimSun" w:hAnsi="Segoe UI Symbol" w:cs="SimSun"/>
        </w:rPr>
        <w:t>卐</w:t>
      </w:r>
      <w:r>
        <w:rPr>
          <w:rFonts w:ascii="Segoe UI Symbol" w:hAnsi="Segoe UI Symbol" w:cs="Segoe UI Symbol"/>
        </w:rPr>
        <w:t>✤</w:t>
      </w:r>
      <w:r>
        <w:t>)</w:t>
      </w:r>
    </w:p>
    <w:p>
      <w:pPr>
        <w:pStyle w:val="Cmsor1"/>
      </w:pPr>
      <w:r>
        <w:lastRenderedPageBreak/>
        <w:t>Layout and materiality</w:t>
      </w:r>
    </w:p>
    <w:p>
      <w:pPr>
        <w:pStyle w:val="Cmsor2"/>
      </w:pPr>
      <w:bookmarkStart w:id="383" w:name="_Ref201761298"/>
      <w:r>
        <w:t>Blank space</w:t>
      </w:r>
    </w:p>
    <w:p>
      <w:pPr>
        <w:rPr>
          <w:lang w:eastAsia="en-US" w:bidi="ar-SA"/>
        </w:rPr>
      </w:pPr>
      <w:r>
        <w:rPr>
          <w:lang w:eastAsia="en-US" w:bidi="ar-SA"/>
        </w:rPr>
        <w:t xml:space="preserve">Since </w:t>
      </w:r>
    </w:p>
    <w:p>
      <w:pPr>
        <w:pStyle w:val="Lista"/>
      </w:pPr>
      <w:r>
        <w:t>spaces in your text must be encoded in XML as per EGD §4.3</w:t>
      </w:r>
    </w:p>
    <w:p>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pPr>
        <w:pStyle w:val="Lista2"/>
      </w:pPr>
      <w:r>
        <w:t>it is recommended that you also use a regular space before and after the underscore, but this is not required</w:t>
      </w:r>
    </w:p>
    <w:p>
      <w:pPr>
        <w:pStyle w:val="Lista"/>
      </w:pPr>
      <w:r>
        <w:t>any other spaces — such as space left blank for filling later, or because of a defect or feature of the material — can only be handled in XML</w:t>
      </w:r>
    </w:p>
    <w:p>
      <w:pPr>
        <w:pStyle w:val="Cmsor2"/>
      </w:pPr>
      <w:r>
        <w:t xml:space="preserve">Symbols and features </w:t>
      </w:r>
      <w:bookmarkEnd w:id="383"/>
      <w:r>
        <w:t>peripheral to the text</w:t>
      </w:r>
    </w:p>
    <w:p>
      <w:pPr>
        <w:pStyle w:val="Cmsor3"/>
      </w:pPr>
      <w:bookmarkStart w:id="384" w:name="_Toc201845438"/>
      <w:r>
        <w:t>Scribal marks</w:t>
      </w:r>
      <w:bookmarkEnd w:id="384"/>
    </w:p>
    <w:p>
      <w:pPr>
        <w:pStyle w:val="Lista"/>
      </w:pPr>
      <w:r>
        <w:t>Scribal marks to be encoded, not transliterated</w:t>
      </w:r>
    </w:p>
    <w:p>
      <w:pPr>
        <w:pStyle w:val="Cmsor3"/>
      </w:pPr>
      <w:bookmarkStart w:id="385" w:name="_Toc201845439"/>
      <w:r>
        <w:t>Decorative features</w:t>
      </w:r>
      <w:bookmarkEnd w:id="385"/>
    </w:p>
    <w:p>
      <w:pPr>
        <w:pStyle w:val="Lista"/>
      </w:pPr>
      <w:r>
        <w:t>deco to be described</w:t>
      </w:r>
    </w:p>
    <w:p>
      <w:pPr>
        <w:pStyle w:val="Cmsor2"/>
      </w:pPr>
      <w:r>
        <w:t>Legibility problems</w:t>
      </w:r>
    </w:p>
    <w:p>
      <w:pPr>
        <w:pStyle w:val="Lista"/>
      </w:pPr>
      <w:r>
        <w:t xml:space="preserve">TODO: perhaps in this section, add instructions on C and V or another solution for partially extant </w:t>
      </w:r>
      <w:proofErr w:type="spellStart"/>
      <w:r>
        <w:t>akṣaras</w:t>
      </w:r>
      <w:proofErr w:type="spellEnd"/>
    </w:p>
    <w:p>
      <w:pPr>
        <w:pStyle w:val="Cmsor2"/>
      </w:pPr>
      <w:r>
        <w:t>Complex characters split by an intervening feature</w:t>
      </w:r>
    </w:p>
    <w:p>
      <w:pPr>
        <w:pStyle w:val="Jegyzetszveg"/>
      </w:pPr>
      <w:r>
        <w:t xml:space="preserve">@possibly add </w:t>
      </w:r>
      <w:hyperlink r:id="rId62" w:history="1">
        <w:r>
          <w:rPr>
            <w:rStyle w:val="Hiperhivatkozs"/>
          </w:rPr>
          <w:t>https://github.com/erc-dharma/project-documentation/issues/284</w:t>
        </w:r>
      </w:hyperlink>
      <w:r>
        <w:t xml:space="preserve"> about the consonant body itself broken across lines</w:t>
      </w:r>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lastRenderedPageBreak/>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6.3.4</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386" w:name="_3znysh7" w:colFirst="0" w:colLast="0"/>
      <w:bookmarkStart w:id="387" w:name="_3vicsiwxvh94" w:colFirst="0" w:colLast="0"/>
      <w:bookmarkStart w:id="388" w:name="_hv2uvfxl0lay" w:colFirst="0" w:colLast="0"/>
      <w:bookmarkStart w:id="389" w:name="_ql9phuu609jo" w:colFirst="0" w:colLast="0"/>
      <w:bookmarkStart w:id="390" w:name="_Toc17811447"/>
      <w:bookmarkStart w:id="391" w:name="_Toc17811502"/>
      <w:bookmarkEnd w:id="374"/>
      <w:bookmarkEnd w:id="375"/>
      <w:bookmarkEnd w:id="376"/>
      <w:bookmarkEnd w:id="377"/>
      <w:bookmarkEnd w:id="378"/>
      <w:bookmarkEnd w:id="381"/>
      <w:bookmarkEnd w:id="386"/>
      <w:bookmarkEnd w:id="387"/>
      <w:bookmarkEnd w:id="388"/>
      <w:bookmarkEnd w:id="389"/>
      <w:r>
        <w:lastRenderedPageBreak/>
        <w:t>References</w:t>
      </w:r>
      <w:bookmarkEnd w:id="390"/>
      <w:bookmarkEnd w:id="391"/>
    </w:p>
    <w:p>
      <w:pPr>
        <w:pStyle w:val="Irodalomjegyzk"/>
      </w:pPr>
      <w:r>
        <w:t>@hard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66">
        <w:r>
          <w:t xml:space="preserve"> </w:t>
        </w:r>
      </w:hyperlink>
      <w:hyperlink r:id="rId67">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68">
        <w:r>
          <w:t xml:space="preserve"> </w:t>
        </w:r>
      </w:hyperlink>
      <w:hyperlink r:id="rId69">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70"/>
      <w:footerReference w:type="default" r:id="rId71"/>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7" w:author="Dániel Balogh" w:date="2025-06-20T10:46:00Z" w:initials="DB">
    <w:p>
      <w:pPr>
        <w:pStyle w:val="Jegyzetszveg"/>
      </w:pPr>
      <w:r>
        <w:rPr>
          <w:rStyle w:val="Jegyzethivatkozs"/>
        </w:rPr>
        <w:annotationRef/>
      </w:r>
      <w:r>
        <w:rPr>
          <w:noProof/>
        </w:rPr>
        <w:t>correct?</w:t>
      </w:r>
    </w:p>
  </w:comment>
  <w:comment w:id="276"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88"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51"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61" w:author="Dániel Balogh [2]" w:date="2025-06-26T16:34:00Z" w:initials="DB">
    <w:p>
      <w:pPr>
        <w:pStyle w:val="Jegyzetszveg"/>
      </w:pPr>
      <w:r>
        <w:rPr>
          <w:rStyle w:val="Jegyzethivatkozs"/>
        </w:rPr>
        <w:annotationRef/>
      </w:r>
      <w:r>
        <w:t>section needs rewrite depending on final symbol encoding approach and taxonomy</w:t>
      </w:r>
    </w:p>
  </w:comment>
  <w:comment w:id="372"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The term ‘numeral’ is also often used in this meaning. Aside from the phrase ‘Arabic numeral’, we prefer to avoid applying this word to individual graphic signs, and use it preferentially for numbers as an abstract concept (which may be graphically represented by a single numeric sign, a sequence of numeric signs, alphabetic signs constituting terms referring to numbers, or any combination thereof).</w:t>
      </w:r>
    </w:p>
  </w:footnote>
  <w:footnote w:id="71">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2">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3">
    <w:p>
      <w:pPr>
        <w:pStyle w:val="Lbjegyzetszveg"/>
      </w:pPr>
      <w:r>
        <w:tab/>
      </w:r>
      <w:r>
        <w:rPr>
          <w:rStyle w:val="Lbjegyzet-hivatkozs"/>
        </w:rPr>
        <w:footnoteRef/>
      </w:r>
      <w:r>
        <w:tab/>
        <w:t>We refer not to semantic meaning but to the fact that each graph is the signifier of linguistic information.</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xml:space="preserve">| &lt;ā&gt;, and this is just as irrelevant to the grapheme status of Tamil &lt;o&gt; as the fact that Latin |d| or |Y| look like combinations of |o| and |l| or |V| and |I| (with the added twist that |Y| was actually deliberately created from the primary graphs for |U| and |I|, originally to represent a vowel phoneme “in between” these two). </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r>
    </w:p>
  </w:footnote>
  <w:footnote w:id="89">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1">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3">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6">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7">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9">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pPr>
        <w:pStyle w:val="Lbjegyzetszveg"/>
      </w:pPr>
      <w:r>
        <w:tab/>
      </w:r>
      <w:r>
        <w:rPr>
          <w:rStyle w:val="Lbjegyzet-hivatkozs"/>
        </w:rPr>
        <w:footnoteRef/>
      </w:r>
      <w:r>
        <w:tab/>
        <w:t xml:space="preserve">Throughout this guide, the term ‘Arabic numeral’ refers to the modern international numeric signs. In other contexts, we prefer to use ‘numeral’ only in the sense of an </w:t>
      </w:r>
      <w:r>
        <w:t>abstract</w:t>
      </w:r>
      <w:r>
        <w:t xml:space="preserve"> number.</w:t>
      </w:r>
    </w:p>
  </w:footnote>
  <w:footnote w:id="101">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numeric sign has a fixed value regardless of its position.</w:t>
      </w:r>
    </w:p>
  </w:footnote>
  <w:footnote w:id="102">
    <w:p>
      <w:pPr>
        <w:pStyle w:val="Lbjegyzetszveg"/>
      </w:pPr>
      <w:r>
        <w:tab/>
      </w:r>
      <w:r>
        <w:rPr>
          <w:rStyle w:val="Lbjegyzet-hivatkozs"/>
        </w:rPr>
        <w:footnoteRef/>
      </w:r>
      <w:r>
        <w:tab/>
        <w:t xml:space="preserve">This does not apply to </w:t>
      </w:r>
      <w:r>
        <w:t xml:space="preserve">Tamil numeral notation, where multiplier glyphs </w:t>
      </w:r>
      <w:r>
        <w:t xml:space="preserve">can be </w:t>
      </w:r>
      <w:r>
        <w:t xml:space="preserve">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/5</w:t>
      </w:r>
      <w:r>
        <w:rPr>
          <w:lang w:eastAsia="en-US" w:bidi="ar-SA"/>
        </w:rPr>
        <w:t xml:space="preserve">, but these are </w:t>
      </w:r>
      <w:r>
        <w:t>visually separate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191406"/>
    <w:docVar w:name="varTop1" w:val="0"/>
    <w:docVar w:name="varWidth1" w:val="1608"/>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erc-dharma/project-documentation/issues/387" TargetMode="External"/><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5.png"/><Relationship Id="rId68"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hyperlink" Target="https://www.iso.org/standard/28333.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hyperlink" Target="https://unicode.org/L2/L2010/10392r2-chandrabindus.pdf"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hyperlink" Target="https://www.iso.org/standard/28333.html" TargetMode="Externa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erc-dharma/project-documentation/issues/284"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hyperlink" Target="https://github.com/erc-dharma/project-documentation/issues/387"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60</Pages>
  <Words>29956</Words>
  <Characters>170755</Characters>
  <Application>Microsoft Office Word</Application>
  <DocSecurity>0</DocSecurity>
  <Lines>1422</Lines>
  <Paragraphs>400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84</cp:revision>
  <cp:lastPrinted>2020-06-29T07:48:00Z</cp:lastPrinted>
  <dcterms:created xsi:type="dcterms:W3CDTF">2025-06-04T07:20:00Z</dcterms:created>
  <dcterms:modified xsi:type="dcterms:W3CDTF">2025-06-26T15:01:00Z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